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EF" w:rsidRDefault="00B828EF" w:rsidP="00B828EF">
      <w:pPr>
        <w:pStyle w:val="Ttulo3"/>
        <w:spacing w:before="0" w:line="240" w:lineRule="auto"/>
        <w:ind w:left="284"/>
        <w:jc w:val="center"/>
        <w:rPr>
          <w:rFonts w:cs="Times New Roman"/>
        </w:rPr>
      </w:pPr>
      <w:bookmarkStart w:id="0" w:name="_Toc445241608"/>
      <w:bookmarkStart w:id="1" w:name="_GoBack"/>
      <w:bookmarkEnd w:id="1"/>
      <w:r w:rsidRPr="00B35682">
        <w:rPr>
          <w:rFonts w:cs="Times New Roman"/>
        </w:rPr>
        <w:t>Área</w:t>
      </w:r>
      <w:r>
        <w:rPr>
          <w:rFonts w:cs="Times New Roman"/>
        </w:rPr>
        <w:t xml:space="preserve"> de interesse</w:t>
      </w:r>
      <w:r w:rsidRPr="00B35682">
        <w:rPr>
          <w:rFonts w:cs="Times New Roman"/>
        </w:rPr>
        <w:t xml:space="preserve">: </w:t>
      </w:r>
      <w:r w:rsidRPr="00905475">
        <w:rPr>
          <w:rFonts w:cs="Times New Roman"/>
        </w:rPr>
        <w:t>ECONOMIA REGIONAL E AGRÍCOLA</w:t>
      </w:r>
    </w:p>
    <w:p w:rsidR="00B828EF" w:rsidRDefault="00B828EF" w:rsidP="00982B81">
      <w:pPr>
        <w:pStyle w:val="Ttulo3"/>
        <w:spacing w:line="240" w:lineRule="auto"/>
        <w:jc w:val="center"/>
        <w:rPr>
          <w:rFonts w:cs="Times New Roman"/>
        </w:rPr>
      </w:pPr>
    </w:p>
    <w:p w:rsidR="00B828EF" w:rsidRDefault="00B828EF" w:rsidP="00982B81">
      <w:pPr>
        <w:pStyle w:val="Ttulo3"/>
        <w:spacing w:line="240" w:lineRule="auto"/>
        <w:jc w:val="center"/>
        <w:rPr>
          <w:rFonts w:cs="Times New Roman"/>
        </w:rPr>
      </w:pPr>
    </w:p>
    <w:p w:rsidR="00B828EF" w:rsidRDefault="00B828EF" w:rsidP="00982B81">
      <w:pPr>
        <w:pStyle w:val="Ttulo3"/>
        <w:spacing w:line="240" w:lineRule="auto"/>
        <w:jc w:val="center"/>
        <w:rPr>
          <w:rFonts w:cs="Times New Roman"/>
        </w:rPr>
      </w:pPr>
    </w:p>
    <w:p w:rsidR="00376485" w:rsidRPr="000A32A3" w:rsidRDefault="00CD16EF" w:rsidP="00982B81">
      <w:pPr>
        <w:pStyle w:val="Ttulo3"/>
        <w:spacing w:line="240" w:lineRule="auto"/>
        <w:jc w:val="center"/>
        <w:rPr>
          <w:rFonts w:cs="Times New Roman"/>
        </w:rPr>
      </w:pPr>
      <w:r w:rsidRPr="000A32A3">
        <w:rPr>
          <w:rFonts w:cs="Times New Roman"/>
        </w:rPr>
        <w:t xml:space="preserve">AVALIAÇÃO DE </w:t>
      </w:r>
      <w:r w:rsidR="00685E7F" w:rsidRPr="000A32A3">
        <w:rPr>
          <w:rFonts w:cs="Times New Roman"/>
        </w:rPr>
        <w:t>(IN)</w:t>
      </w:r>
      <w:r w:rsidRPr="000A32A3">
        <w:rPr>
          <w:rFonts w:cs="Times New Roman"/>
        </w:rPr>
        <w:t>EFICIÊNCIA DO PROGRAMA EMPRESARIAL DO FUNDO CONSTITUCIONAL DE FINANCIAMENTO DO CENTRO-OESTE (FCO) EM GOIÁS</w:t>
      </w:r>
      <w:bookmarkEnd w:id="0"/>
    </w:p>
    <w:p w:rsidR="00CD16EF" w:rsidRDefault="00CD16EF"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B828EF" w:rsidRDefault="00B828EF" w:rsidP="00B828EF">
      <w:pPr>
        <w:spacing w:after="0" w:line="240" w:lineRule="auto"/>
        <w:jc w:val="center"/>
        <w:rPr>
          <w:b/>
        </w:rPr>
      </w:pPr>
      <w:r w:rsidRPr="00B35682">
        <w:rPr>
          <w:b/>
        </w:rPr>
        <w:t>Guilherme Resende Oliveira</w:t>
      </w:r>
      <w:r w:rsidRPr="00B35682">
        <w:rPr>
          <w:rStyle w:val="Refdenotaderodap"/>
          <w:b/>
        </w:rPr>
        <w:footnoteReference w:id="1"/>
      </w:r>
    </w:p>
    <w:p w:rsidR="00B828EF" w:rsidRPr="00B35682" w:rsidRDefault="00B828EF" w:rsidP="00B828EF">
      <w:pPr>
        <w:spacing w:after="0" w:line="240" w:lineRule="auto"/>
        <w:jc w:val="center"/>
        <w:rPr>
          <w:b/>
        </w:rPr>
      </w:pPr>
      <w:r>
        <w:rPr>
          <w:b/>
        </w:rPr>
        <w:t>Guilherme Mendes Resende</w:t>
      </w:r>
      <w:r>
        <w:rPr>
          <w:rStyle w:val="Refdenotaderodap"/>
          <w:b/>
        </w:rPr>
        <w:footnoteReference w:id="2"/>
      </w:r>
    </w:p>
    <w:p w:rsidR="00B828EF" w:rsidRPr="00B35682" w:rsidRDefault="00B828EF" w:rsidP="00B828EF">
      <w:pPr>
        <w:spacing w:after="0" w:line="240" w:lineRule="auto"/>
        <w:jc w:val="center"/>
        <w:rPr>
          <w:b/>
        </w:rPr>
      </w:pPr>
      <w:r w:rsidRPr="00B35682">
        <w:rPr>
          <w:b/>
        </w:rPr>
        <w:t>Felipe Resende Oliveira</w:t>
      </w:r>
      <w:r w:rsidRPr="00B35682">
        <w:rPr>
          <w:rStyle w:val="Refdenotaderodap"/>
          <w:b/>
        </w:rPr>
        <w:footnoteReference w:id="3"/>
      </w:r>
    </w:p>
    <w:p w:rsidR="000A32A3" w:rsidRDefault="000A32A3" w:rsidP="00B828EF">
      <w:pPr>
        <w:spacing w:line="240" w:lineRule="auto"/>
        <w:jc w:val="center"/>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0A32A3" w:rsidRDefault="000A32A3" w:rsidP="00982B81">
      <w:pPr>
        <w:spacing w:line="240" w:lineRule="auto"/>
        <w:rPr>
          <w:rFonts w:cs="Times New Roman"/>
        </w:rPr>
      </w:pPr>
    </w:p>
    <w:p w:rsidR="00990E06" w:rsidRPr="000A32A3" w:rsidRDefault="00990E06" w:rsidP="00990E06">
      <w:pPr>
        <w:pStyle w:val="Ttulo3"/>
        <w:spacing w:line="240" w:lineRule="auto"/>
        <w:jc w:val="center"/>
        <w:rPr>
          <w:rFonts w:cs="Times New Roman"/>
        </w:rPr>
      </w:pPr>
      <w:r w:rsidRPr="000A32A3">
        <w:rPr>
          <w:rFonts w:cs="Times New Roman"/>
        </w:rPr>
        <w:t>AVALIAÇÃO DE (IN)EFICIÊNCIA DO PROGRAMA EMPRESARIAL DO FUNDO CONSTITUCIONAL DE FINANCIAMENTO DO CENTRO-OESTE (FCO) EM GOIÁS</w:t>
      </w:r>
    </w:p>
    <w:p w:rsidR="000A32A3" w:rsidRPr="000A32A3" w:rsidRDefault="000A32A3" w:rsidP="00982B81">
      <w:pPr>
        <w:spacing w:line="240" w:lineRule="auto"/>
        <w:rPr>
          <w:rFonts w:cs="Times New Roman"/>
        </w:rPr>
      </w:pPr>
    </w:p>
    <w:p w:rsidR="00CD16EF" w:rsidRPr="000A32A3" w:rsidRDefault="00CD16EF" w:rsidP="00982B81">
      <w:pPr>
        <w:spacing w:after="0" w:line="240" w:lineRule="auto"/>
        <w:rPr>
          <w:rFonts w:cs="Times New Roman"/>
          <w:b/>
        </w:rPr>
      </w:pPr>
      <w:r w:rsidRPr="000A32A3">
        <w:rPr>
          <w:rFonts w:cs="Times New Roman"/>
          <w:b/>
        </w:rPr>
        <w:lastRenderedPageBreak/>
        <w:t>Resumo</w:t>
      </w:r>
    </w:p>
    <w:p w:rsidR="001518C5" w:rsidRPr="000A32A3" w:rsidRDefault="001518C5" w:rsidP="00982B81">
      <w:pPr>
        <w:spacing w:after="0" w:line="240" w:lineRule="auto"/>
        <w:rPr>
          <w:rFonts w:cs="Times New Roman"/>
          <w:b/>
        </w:rPr>
      </w:pPr>
    </w:p>
    <w:p w:rsidR="00CD16EF" w:rsidRPr="000A32A3" w:rsidRDefault="00CD16EF" w:rsidP="00982B81">
      <w:pPr>
        <w:spacing w:after="0" w:line="240" w:lineRule="auto"/>
        <w:rPr>
          <w:rFonts w:cs="Times New Roman"/>
          <w:b/>
        </w:rPr>
      </w:pPr>
      <w:r w:rsidRPr="000A32A3">
        <w:rPr>
          <w:rFonts w:cs="Times New Roman"/>
        </w:rPr>
        <w:t xml:space="preserve">Este estudo avalia a eficiência alocativa </w:t>
      </w:r>
      <w:r w:rsidR="006A7EDE" w:rsidRPr="000A32A3">
        <w:rPr>
          <w:rFonts w:cs="Times New Roman"/>
        </w:rPr>
        <w:t xml:space="preserve">do </w:t>
      </w:r>
      <w:r w:rsidRPr="000A32A3">
        <w:rPr>
          <w:rFonts w:cs="Times New Roman"/>
        </w:rPr>
        <w:t>Fundo Constitucional de Financiamento do Centro-Oeste (FCO) em Goiás sobre a geração de empregos e aumento do salário médio das empresas, abordando as linhas do programa Empresarial</w:t>
      </w:r>
      <w:r w:rsidR="006A7EDE" w:rsidRPr="000A32A3">
        <w:rPr>
          <w:rFonts w:cs="Times New Roman"/>
        </w:rPr>
        <w:t>, voltadas para os setores industrial e de serviços,</w:t>
      </w:r>
      <w:r w:rsidRPr="000A32A3">
        <w:rPr>
          <w:rFonts w:cs="Times New Roman"/>
        </w:rPr>
        <w:t xml:space="preserve"> no período entre 2004 e 2011. Além da Análise Envoltória de Dados (DEA), é utilizado o método de fronteira de ordem-m, mais robusto a valores extremos e </w:t>
      </w:r>
      <w:r w:rsidRPr="000A32A3">
        <w:rPr>
          <w:rFonts w:cs="Times New Roman"/>
          <w:i/>
        </w:rPr>
        <w:t>outliers</w:t>
      </w:r>
      <w:r w:rsidRPr="000A32A3">
        <w:rPr>
          <w:rFonts w:cs="Times New Roman"/>
        </w:rPr>
        <w:t xml:space="preserve">. O segundo estágio verifica os fatores que influenciam na eficiência dos financiamentos, destacando-se a mão de obra qualificada, o porte das firmas e o próprio valor financiado. A análise, dividida em dois períodos, revela queda de eficiência da política no período pós-crise de 2008. </w:t>
      </w:r>
      <w:r w:rsidR="009E7F62" w:rsidRPr="000A32A3">
        <w:rPr>
          <w:rFonts w:cs="Times New Roman"/>
        </w:rPr>
        <w:t xml:space="preserve">A avaliação permite entender as estratégias de atuação do fundo de modo a maximizar sua eficiência e contribuir para o desenvolvimento regional. </w:t>
      </w:r>
      <w:r w:rsidR="00E20396" w:rsidRPr="000A32A3">
        <w:rPr>
          <w:rFonts w:cs="Times New Roman"/>
        </w:rPr>
        <w:t>E</w:t>
      </w:r>
      <w:r w:rsidR="009E7F62" w:rsidRPr="000A32A3">
        <w:rPr>
          <w:rFonts w:cs="Times New Roman"/>
        </w:rPr>
        <w:t xml:space="preserve">xiste uma relevante variabilidade na eficiência alocativa dos empréstimos, consequentemente, pode-se elevar o número de empregos e a produtividade da economia goiana somente com o melhor aproveitamento dos recursos disponíveis.  </w:t>
      </w:r>
    </w:p>
    <w:p w:rsidR="001518C5" w:rsidRPr="000A32A3" w:rsidRDefault="001518C5" w:rsidP="00982B81">
      <w:pPr>
        <w:spacing w:after="0" w:line="240" w:lineRule="auto"/>
        <w:rPr>
          <w:rFonts w:cs="Times New Roman"/>
          <w:b/>
        </w:rPr>
      </w:pPr>
    </w:p>
    <w:p w:rsidR="00CD16EF" w:rsidRPr="000A32A3" w:rsidRDefault="00CD16EF" w:rsidP="00982B81">
      <w:pPr>
        <w:spacing w:after="0" w:line="240" w:lineRule="auto"/>
        <w:rPr>
          <w:rFonts w:cs="Times New Roman"/>
          <w:b/>
        </w:rPr>
      </w:pPr>
      <w:r w:rsidRPr="000A32A3">
        <w:rPr>
          <w:rFonts w:cs="Times New Roman"/>
          <w:b/>
        </w:rPr>
        <w:t xml:space="preserve">Palavras-chave: </w:t>
      </w:r>
      <w:r w:rsidRPr="000A32A3">
        <w:rPr>
          <w:rFonts w:cs="Times New Roman"/>
        </w:rPr>
        <w:t>Fundo Constitucional de Financiamento do Centro-Oeste (FCO), eficiência, Análise Envoltória de Dados (DEA), desenvolvimento regional.</w:t>
      </w:r>
      <w:r w:rsidRPr="000A32A3">
        <w:rPr>
          <w:rFonts w:cs="Times New Roman"/>
          <w:b/>
        </w:rPr>
        <w:t xml:space="preserve">  </w:t>
      </w:r>
    </w:p>
    <w:p w:rsidR="001518C5" w:rsidRPr="000A32A3" w:rsidRDefault="001518C5" w:rsidP="00982B81">
      <w:pPr>
        <w:spacing w:after="0" w:line="240" w:lineRule="auto"/>
        <w:rPr>
          <w:rFonts w:cs="Times New Roman"/>
          <w:b/>
        </w:rPr>
      </w:pPr>
    </w:p>
    <w:p w:rsidR="00CD16EF" w:rsidRPr="000A32A3" w:rsidRDefault="00CD16EF" w:rsidP="00982B81">
      <w:pPr>
        <w:spacing w:after="0" w:line="240" w:lineRule="auto"/>
        <w:rPr>
          <w:rFonts w:cs="Times New Roman"/>
          <w:b/>
          <w:lang w:val="en-US"/>
        </w:rPr>
      </w:pPr>
      <w:r w:rsidRPr="000A32A3">
        <w:rPr>
          <w:rFonts w:cs="Times New Roman"/>
          <w:b/>
          <w:lang w:val="en-US"/>
        </w:rPr>
        <w:t>Abstract</w:t>
      </w:r>
    </w:p>
    <w:p w:rsidR="001518C5" w:rsidRPr="000A32A3" w:rsidRDefault="001518C5" w:rsidP="00982B81">
      <w:pPr>
        <w:spacing w:after="0" w:line="240" w:lineRule="auto"/>
        <w:rPr>
          <w:rFonts w:cs="Times New Roman"/>
          <w:lang w:val="en-US"/>
        </w:rPr>
      </w:pPr>
    </w:p>
    <w:p w:rsidR="00CD16EF" w:rsidRPr="000A32A3" w:rsidRDefault="00CD16EF" w:rsidP="00982B81">
      <w:pPr>
        <w:spacing w:after="0" w:line="240" w:lineRule="auto"/>
        <w:rPr>
          <w:rFonts w:cs="Times New Roman"/>
          <w:lang w:val="en-US"/>
        </w:rPr>
      </w:pPr>
      <w:r w:rsidRPr="000A32A3">
        <w:rPr>
          <w:rFonts w:cs="Times New Roman"/>
          <w:lang w:val="en-US"/>
        </w:rPr>
        <w:t>This study evaluates the allocative efficiency of the Constitutional Fund for Financing of the Center-West in state of Goiás on the creation of jobs and increase of companies’ average salary, addressing the lines of “Empresarial” program</w:t>
      </w:r>
      <w:r w:rsidR="006A7EDE" w:rsidRPr="000A32A3">
        <w:rPr>
          <w:rFonts w:cs="Times New Roman"/>
          <w:lang w:val="en-US"/>
        </w:rPr>
        <w:t>, focused on the industrial and service sectors,</w:t>
      </w:r>
      <w:r w:rsidRPr="000A32A3">
        <w:rPr>
          <w:rFonts w:cs="Times New Roman"/>
          <w:lang w:val="en-US"/>
        </w:rPr>
        <w:t xml:space="preserve"> between 2004 and 2011. In addition to Data Envelopment Analysis (DEA) is used the order-m frontier method, more robust to extreme values and outliers. The second </w:t>
      </w:r>
      <w:r w:rsidR="00BC287C" w:rsidRPr="000A32A3">
        <w:rPr>
          <w:rFonts w:cs="Times New Roman"/>
          <w:lang w:val="en-US"/>
        </w:rPr>
        <w:t>stage verifies</w:t>
      </w:r>
      <w:r w:rsidRPr="000A32A3">
        <w:rPr>
          <w:rFonts w:cs="Times New Roman"/>
          <w:lang w:val="en-US"/>
        </w:rPr>
        <w:t xml:space="preserve"> the factors that influence the efficiency of financing, highlighting the skilled labor, the size of firms and the amount financed. The analysis, divided in two periods, reveals </w:t>
      </w:r>
      <w:r w:rsidR="00BC287C" w:rsidRPr="000A32A3">
        <w:rPr>
          <w:rFonts w:cs="Times New Roman"/>
          <w:lang w:val="en-US"/>
        </w:rPr>
        <w:t xml:space="preserve">the </w:t>
      </w:r>
      <w:r w:rsidRPr="000A32A3">
        <w:rPr>
          <w:rFonts w:cs="Times New Roman"/>
          <w:lang w:val="en-US"/>
        </w:rPr>
        <w:t xml:space="preserve">efficiency falling after 2008 crisis. </w:t>
      </w:r>
      <w:r w:rsidR="009E7F62" w:rsidRPr="000A32A3">
        <w:rPr>
          <w:rFonts w:cs="Times New Roman"/>
          <w:lang w:val="en-US"/>
        </w:rPr>
        <w:t>T</w:t>
      </w:r>
      <w:r w:rsidRPr="000A32A3">
        <w:rPr>
          <w:rFonts w:cs="Times New Roman"/>
          <w:lang w:val="en-US"/>
        </w:rPr>
        <w:t>he evaluation allows understand the strategies of the fund operation to maximizing and contributing on regional development.</w:t>
      </w:r>
      <w:r w:rsidR="009E7F62" w:rsidRPr="000A32A3">
        <w:rPr>
          <w:rFonts w:cs="Times New Roman"/>
          <w:lang w:val="en-US"/>
        </w:rPr>
        <w:t xml:space="preserve"> </w:t>
      </w:r>
      <w:r w:rsidR="00E20396" w:rsidRPr="000A32A3">
        <w:rPr>
          <w:rFonts w:cs="Times New Roman"/>
          <w:lang w:val="en-US"/>
        </w:rPr>
        <w:t>T</w:t>
      </w:r>
      <w:r w:rsidR="009E7F62" w:rsidRPr="000A32A3">
        <w:rPr>
          <w:rFonts w:cs="Times New Roman"/>
          <w:lang w:val="en-US"/>
        </w:rPr>
        <w:t>here is significant variability in the allocative efficiency of the loans, consequently, it can increase the number of jobs and the productivity of the economy only with the better use of available resources.</w:t>
      </w:r>
    </w:p>
    <w:p w:rsidR="001518C5" w:rsidRPr="000A32A3" w:rsidRDefault="001518C5" w:rsidP="00982B81">
      <w:pPr>
        <w:spacing w:after="0" w:line="240" w:lineRule="auto"/>
        <w:rPr>
          <w:rFonts w:cs="Times New Roman"/>
          <w:b/>
          <w:lang w:val="en-US"/>
        </w:rPr>
      </w:pPr>
    </w:p>
    <w:p w:rsidR="00AC6883" w:rsidRPr="000A32A3" w:rsidRDefault="00CD16EF" w:rsidP="00982B81">
      <w:pPr>
        <w:spacing w:after="0" w:line="240" w:lineRule="auto"/>
        <w:rPr>
          <w:rFonts w:cs="Times New Roman"/>
          <w:b/>
          <w:lang w:val="en-US"/>
        </w:rPr>
      </w:pPr>
      <w:r w:rsidRPr="000A32A3">
        <w:rPr>
          <w:rFonts w:cs="Times New Roman"/>
          <w:b/>
          <w:lang w:val="en-US"/>
        </w:rPr>
        <w:t xml:space="preserve">Keywords: </w:t>
      </w:r>
      <w:r w:rsidRPr="000A32A3">
        <w:rPr>
          <w:rFonts w:cs="Times New Roman"/>
          <w:lang w:val="en-US"/>
        </w:rPr>
        <w:t>Constitutional Financing Fund, efficiency, Data Envelopment Analysis, regional development.</w:t>
      </w:r>
    </w:p>
    <w:p w:rsidR="00AC6883" w:rsidRPr="000A32A3" w:rsidRDefault="00AC6883" w:rsidP="00982B81">
      <w:pPr>
        <w:spacing w:after="0" w:line="240" w:lineRule="auto"/>
        <w:rPr>
          <w:rFonts w:cs="Times New Roman"/>
          <w:b/>
          <w:lang w:val="en-US"/>
        </w:rPr>
      </w:pPr>
    </w:p>
    <w:p w:rsidR="00AC6883" w:rsidRDefault="00AC6883" w:rsidP="00982B81">
      <w:pPr>
        <w:spacing w:after="0" w:line="240" w:lineRule="auto"/>
        <w:rPr>
          <w:rFonts w:cs="Times New Roman"/>
        </w:rPr>
      </w:pPr>
      <w:r w:rsidRPr="000A32A3">
        <w:rPr>
          <w:rFonts w:cs="Times New Roman"/>
          <w:b/>
        </w:rPr>
        <w:t>Classificação JEL:</w:t>
      </w:r>
      <w:r w:rsidRPr="000A32A3">
        <w:rPr>
          <w:rFonts w:cs="Times New Roman"/>
        </w:rPr>
        <w:t xml:space="preserve"> </w:t>
      </w:r>
      <w:r w:rsidR="00BC287C" w:rsidRPr="000A32A3">
        <w:rPr>
          <w:rFonts w:cs="Times New Roman"/>
        </w:rPr>
        <w:t xml:space="preserve">C52, </w:t>
      </w:r>
      <w:r w:rsidRPr="000A32A3">
        <w:rPr>
          <w:rFonts w:cs="Times New Roman"/>
        </w:rPr>
        <w:t>R58.</w:t>
      </w:r>
    </w:p>
    <w:p w:rsidR="000A32A3" w:rsidRDefault="000A32A3" w:rsidP="00982B81">
      <w:pPr>
        <w:spacing w:after="0" w:line="240" w:lineRule="auto"/>
        <w:rPr>
          <w:rFonts w:cs="Times New Roman"/>
        </w:rPr>
      </w:pPr>
    </w:p>
    <w:p w:rsidR="000A32A3" w:rsidRDefault="000A32A3" w:rsidP="00982B81">
      <w:pPr>
        <w:spacing w:after="0" w:line="240" w:lineRule="auto"/>
        <w:rPr>
          <w:rFonts w:cs="Times New Roman"/>
        </w:rPr>
      </w:pPr>
    </w:p>
    <w:p w:rsidR="000A32A3" w:rsidRDefault="000A32A3" w:rsidP="00982B81">
      <w:pPr>
        <w:spacing w:after="0" w:line="240" w:lineRule="auto"/>
        <w:rPr>
          <w:rFonts w:cs="Times New Roman"/>
        </w:rPr>
      </w:pPr>
    </w:p>
    <w:p w:rsidR="000A32A3" w:rsidRDefault="000A32A3" w:rsidP="00982B81">
      <w:pPr>
        <w:spacing w:after="0" w:line="240" w:lineRule="auto"/>
        <w:rPr>
          <w:rFonts w:cs="Times New Roman"/>
        </w:rPr>
      </w:pPr>
    </w:p>
    <w:p w:rsidR="000A32A3" w:rsidRDefault="000A32A3" w:rsidP="00982B81">
      <w:pPr>
        <w:spacing w:after="0" w:line="240" w:lineRule="auto"/>
        <w:rPr>
          <w:rFonts w:cs="Times New Roman"/>
        </w:rPr>
      </w:pPr>
    </w:p>
    <w:p w:rsidR="008A1D34" w:rsidRPr="000A32A3" w:rsidRDefault="008A1D34" w:rsidP="00982B81">
      <w:pPr>
        <w:pStyle w:val="Ttulo1"/>
        <w:numPr>
          <w:ilvl w:val="0"/>
          <w:numId w:val="17"/>
        </w:numPr>
        <w:spacing w:line="240" w:lineRule="auto"/>
        <w:rPr>
          <w:rFonts w:cs="Times New Roman"/>
        </w:rPr>
      </w:pPr>
      <w:bookmarkStart w:id="2" w:name="_Toc445241609"/>
      <w:r w:rsidRPr="000A32A3">
        <w:rPr>
          <w:rFonts w:cs="Times New Roman"/>
        </w:rPr>
        <w:t>Introdução</w:t>
      </w:r>
      <w:bookmarkEnd w:id="2"/>
      <w:r w:rsidRPr="000A32A3">
        <w:rPr>
          <w:rFonts w:cs="Times New Roman"/>
        </w:rPr>
        <w:t xml:space="preserve"> </w:t>
      </w:r>
    </w:p>
    <w:p w:rsidR="00833F59" w:rsidRPr="000A32A3" w:rsidRDefault="00833F59" w:rsidP="00833F59"/>
    <w:p w:rsidR="00CD16EF" w:rsidRPr="000A32A3" w:rsidRDefault="00CD16EF" w:rsidP="00982B81">
      <w:pPr>
        <w:spacing w:after="120" w:line="240" w:lineRule="auto"/>
        <w:ind w:firstLine="709"/>
        <w:rPr>
          <w:rFonts w:cs="Times New Roman"/>
        </w:rPr>
      </w:pPr>
      <w:r w:rsidRPr="000A32A3">
        <w:rPr>
          <w:rFonts w:cs="Times New Roman"/>
        </w:rPr>
        <w:t xml:space="preserve">O desenvolvimento econômico brasileiro não uniforme entre as regiões constitui um fator de entrave ao processo de desenvolvimento econômico (MINISTÉRIO DA </w:t>
      </w:r>
      <w:r w:rsidRPr="000A32A3">
        <w:rPr>
          <w:rFonts w:cs="Times New Roman"/>
        </w:rPr>
        <w:lastRenderedPageBreak/>
        <w:t xml:space="preserve">INTEGRAÇÃO NACIONAL, 2007). Consequências como diferentes níveis de renda per capita, de desemprego, de acesso à tecnologia, infraestrutura e serviços públicos contribuem ainda mais para a perpetuação das divergências regionais. Assim, os Fundos Constitucionais de Financiamento foram criados pela Constituição Federal de 1988 para mitigar a desigualdade entre as macrorregiões brasileiras. </w:t>
      </w:r>
    </w:p>
    <w:p w:rsidR="00CD16EF" w:rsidRPr="000A32A3" w:rsidRDefault="00CD16EF" w:rsidP="00982B81">
      <w:pPr>
        <w:spacing w:after="120" w:line="240" w:lineRule="auto"/>
        <w:ind w:firstLine="708"/>
        <w:rPr>
          <w:rFonts w:cs="Times New Roman"/>
        </w:rPr>
      </w:pPr>
      <w:r w:rsidRPr="000A32A3">
        <w:rPr>
          <w:rFonts w:cs="Times New Roman"/>
        </w:rPr>
        <w:t xml:space="preserve">Os fundos foram regulamentados pela Lei n.º 7.827/1989 com o “objetivo </w:t>
      </w:r>
      <w:r w:rsidR="00946560" w:rsidRPr="000A32A3">
        <w:rPr>
          <w:rFonts w:cs="Times New Roman"/>
        </w:rPr>
        <w:t xml:space="preserve">de </w:t>
      </w:r>
      <w:r w:rsidRPr="000A32A3">
        <w:rPr>
          <w:rFonts w:cs="Times New Roman"/>
        </w:rPr>
        <w:t>contribuir para o desenvolvimento econômico e social das regiões Norte, Nordeste e Centro-Oeste, através das instituições financeiras federais de caráter regional, mediante a execução de programas de financiamento aos setores produtivos”. Os recursos provêm de 3% de arrecadação do Imposto sobre Produtos Industrializados (IPI) e do Imposto de Renda (IR), além dos próprios retornos e resultados das aplicações, sendo 20% para o Fundo Constitucional de Financiamento do Norte (FNO), 20% para o Fundo Constitucional de Financiamento do Centro-Oeste (FCO) e 60% para o Fundo Constitucional de Financiamento do Nordeste (FNE).</w:t>
      </w:r>
    </w:p>
    <w:p w:rsidR="00037CCB" w:rsidRPr="000A32A3" w:rsidRDefault="00CD16EF" w:rsidP="00E74B76">
      <w:pPr>
        <w:spacing w:after="120" w:line="240" w:lineRule="auto"/>
        <w:ind w:firstLine="708"/>
        <w:rPr>
          <w:rFonts w:cs="Times New Roman"/>
        </w:rPr>
      </w:pPr>
      <w:r w:rsidRPr="000A32A3">
        <w:rPr>
          <w:rFonts w:cs="Times New Roman"/>
        </w:rPr>
        <w:t xml:space="preserve">Resende </w:t>
      </w:r>
      <w:r w:rsidRPr="000A32A3">
        <w:rPr>
          <w:rFonts w:cs="Times New Roman"/>
          <w:i/>
        </w:rPr>
        <w:t>et al.</w:t>
      </w:r>
      <w:r w:rsidRPr="000A32A3">
        <w:rPr>
          <w:rFonts w:cs="Times New Roman"/>
        </w:rPr>
        <w:t xml:space="preserve"> (2014) mostram que entre 1995 e 2012 os recursos aplicados pelos Fundos Constitucionais nas três regiões somaram R$ 146,5 bilhões (valores de 2010). </w:t>
      </w:r>
      <w:r w:rsidR="00E20396" w:rsidRPr="000A32A3">
        <w:rPr>
          <w:rFonts w:cs="Times New Roman"/>
        </w:rPr>
        <w:t xml:space="preserve">Entre 2015 e 2025, é projetada uma aplicação de R$ 69 bilhões com o FCO (preços constantes de 2014) apenas na região Centro-Oeste. Isso por si só, justificaria a necessidade de qualquer avaliação, em especial, a de eficiência, inédita sobre os Fundos Constitucionais. </w:t>
      </w:r>
      <w:r w:rsidRPr="000A32A3">
        <w:rPr>
          <w:rFonts w:cs="Times New Roman"/>
        </w:rPr>
        <w:t>No Centro-Oeste, Goiás captou 45,6% do total disponibilizado para o FCO</w:t>
      </w:r>
      <w:r w:rsidR="00425BCB" w:rsidRPr="000A32A3">
        <w:rPr>
          <w:rFonts w:cs="Times New Roman"/>
        </w:rPr>
        <w:t>, sendo, portanto, a Unidade Federativa com maior representatividade da região</w:t>
      </w:r>
      <w:r w:rsidR="00E74B76" w:rsidRPr="000A32A3">
        <w:rPr>
          <w:rStyle w:val="Refdenotaderodap"/>
          <w:rFonts w:cs="Times New Roman"/>
        </w:rPr>
        <w:footnoteReference w:id="4"/>
      </w:r>
      <w:r w:rsidRPr="000A32A3">
        <w:rPr>
          <w:rFonts w:cs="Times New Roman"/>
        </w:rPr>
        <w:t xml:space="preserve">. </w:t>
      </w:r>
      <w:r w:rsidR="00E74B76" w:rsidRPr="000A32A3">
        <w:rPr>
          <w:rFonts w:cs="Times New Roman"/>
        </w:rPr>
        <w:t xml:space="preserve">Apenas em Goiás, foram gastos em média por ano com os Fundos Constitucionais de Financiamento em torno de 1,5 bilhões de reais. </w:t>
      </w:r>
    </w:p>
    <w:p w:rsidR="00037CCB" w:rsidRPr="000A32A3" w:rsidRDefault="00037CCB" w:rsidP="00037CCB">
      <w:pPr>
        <w:spacing w:after="120" w:line="240" w:lineRule="auto"/>
        <w:ind w:firstLine="708"/>
        <w:rPr>
          <w:rFonts w:cs="Times New Roman"/>
        </w:rPr>
      </w:pPr>
      <w:r w:rsidRPr="000A32A3">
        <w:rPr>
          <w:rFonts w:cs="Times New Roman"/>
        </w:rPr>
        <w:t>Nos anos 1990 e 2000, os recursos estiveram mais concentrados nas atividades agropecuárias. Todavia, recentemente observaram crescente destinação para o setor industrial, mais especificamente para o programa Empresarial, foco desta pesquisa. A agropecuária, que ficou com 75,2% dos recursos no período 1995-2012, mostrou arrefecimento no subperíodo 2010-2012, com 55,2% do total emprestado.</w:t>
      </w:r>
    </w:p>
    <w:p w:rsidR="00CD16EF" w:rsidRPr="000A32A3" w:rsidRDefault="00CD16EF" w:rsidP="00982B81">
      <w:pPr>
        <w:spacing w:after="120" w:line="240" w:lineRule="auto"/>
        <w:ind w:firstLine="708"/>
        <w:rPr>
          <w:rFonts w:cs="Times New Roman"/>
        </w:rPr>
      </w:pPr>
      <w:r w:rsidRPr="000A32A3">
        <w:rPr>
          <w:rFonts w:cs="Times New Roman"/>
        </w:rPr>
        <w:t xml:space="preserve">Embora os investimentos tenham impactado positivamente na criação de emprego e geração de renda das regiões mais necessitadas, eles atenderam a demanda do mercado, vis-à-vis ao objetivo de reduzir a desigualdade regional de renda, como ressaltam Almeida, Silva e Resende (2006). </w:t>
      </w:r>
      <w:r w:rsidR="009F3074" w:rsidRPr="000A32A3">
        <w:rPr>
          <w:rFonts w:cs="Times New Roman"/>
        </w:rPr>
        <w:t>Como a restrição orçamentária da política é dada pelo patrimônio líquido do fundo, seus gestores devem maximizar seus benefícios líquidos em função dos valores de financiamento e seus custos de oportunidade. Assim, u</w:t>
      </w:r>
      <w:r w:rsidR="0085526B" w:rsidRPr="000A32A3">
        <w:rPr>
          <w:rFonts w:cs="Times New Roman"/>
        </w:rPr>
        <w:t xml:space="preserve">ma das formas de aumentar os impactos positivos é por meio da </w:t>
      </w:r>
      <w:r w:rsidR="009F3074" w:rsidRPr="000A32A3">
        <w:rPr>
          <w:rFonts w:cs="Times New Roman"/>
        </w:rPr>
        <w:t xml:space="preserve">melhor utilização </w:t>
      </w:r>
      <w:r w:rsidR="0085526B" w:rsidRPr="000A32A3">
        <w:rPr>
          <w:rFonts w:cs="Times New Roman"/>
        </w:rPr>
        <w:t>dos recursos existentes</w:t>
      </w:r>
      <w:r w:rsidR="009F3074" w:rsidRPr="000A32A3">
        <w:rPr>
          <w:rFonts w:cs="Times New Roman"/>
        </w:rPr>
        <w:t>.</w:t>
      </w:r>
      <w:r w:rsidR="0085526B" w:rsidRPr="000A32A3">
        <w:rPr>
          <w:rFonts w:cs="Times New Roman"/>
        </w:rPr>
        <w:t xml:space="preserve"> </w:t>
      </w:r>
      <w:r w:rsidR="009F3074" w:rsidRPr="000A32A3">
        <w:rPr>
          <w:rFonts w:cs="Times New Roman"/>
        </w:rPr>
        <w:t xml:space="preserve">Contudo, não se sabe se essa política aumentou sua eficiência desde sua implantação. </w:t>
      </w:r>
      <w:r w:rsidR="0085526B" w:rsidRPr="000A32A3">
        <w:rPr>
          <w:rFonts w:cs="Times New Roman"/>
        </w:rPr>
        <w:t>Logo, surge a necessidade de monitorar a concessão de financiamentos dos Fundos Constitucionais por meio da avaliação de eficiência, mais especificamente, com uso da Análise Envoltória de Dados (DEA).</w:t>
      </w:r>
      <w:r w:rsidR="009F3074" w:rsidRPr="000A32A3">
        <w:rPr>
          <w:rFonts w:cs="Times New Roman"/>
        </w:rPr>
        <w:t xml:space="preserve"> </w:t>
      </w:r>
    </w:p>
    <w:p w:rsidR="000820BB" w:rsidRPr="000A32A3" w:rsidRDefault="000820BB" w:rsidP="000820BB">
      <w:pPr>
        <w:spacing w:after="120" w:line="240" w:lineRule="auto"/>
        <w:ind w:firstLine="708"/>
        <w:rPr>
          <w:rFonts w:cs="Times New Roman"/>
        </w:rPr>
      </w:pPr>
      <w:r w:rsidRPr="000A32A3">
        <w:rPr>
          <w:rFonts w:cs="Times New Roman"/>
        </w:rPr>
        <w:t xml:space="preserve">Assim, o objetivo do estudo é avaliar a eficiência do FCO em Goiás na geração de empregos e aumento de salários, identificando os fatores fundamentais para reduzir o hiato de desenvolvimento entre o Centro-Oeste e o Sul/Sudeste. </w:t>
      </w:r>
      <w:r w:rsidR="00B90FFA" w:rsidRPr="000A32A3">
        <w:rPr>
          <w:rFonts w:cs="Times New Roman"/>
        </w:rPr>
        <w:t>O</w:t>
      </w:r>
      <w:r w:rsidRPr="000A32A3">
        <w:rPr>
          <w:rFonts w:cs="Times New Roman"/>
        </w:rPr>
        <w:t xml:space="preserve"> trabalho aborda a diferença de eficiência entre as linhas do programa Empresarial no período entre 2004 e 2011, usando como unidades observacionais, ou </w:t>
      </w:r>
      <w:r w:rsidRPr="000A32A3">
        <w:rPr>
          <w:rFonts w:cs="Times New Roman"/>
          <w:i/>
        </w:rPr>
        <w:t>Decision Making Unit</w:t>
      </w:r>
      <w:r w:rsidRPr="000A32A3">
        <w:rPr>
          <w:rFonts w:cs="Times New Roman"/>
        </w:rPr>
        <w:t xml:space="preserve"> (DMU), as empresas, e como </w:t>
      </w:r>
      <w:r w:rsidRPr="000A32A3">
        <w:rPr>
          <w:rFonts w:cs="Times New Roman"/>
        </w:rPr>
        <w:lastRenderedPageBreak/>
        <w:t xml:space="preserve">insumo o valor total do financiamento. Em um segundo estágio, verificam-se os fatores que influenciam na eficiência dos empréstimos. Logo, apesar de as firmas serem analisadas por atingirem determinadas metas com distintas quantidades de insumos, o foco da avaliação é a eficiência da política. Pretende-se entender melhor a estratégia de financiamento que possa maximizar a eficiência das DMUs avaliadas no que diz respeito à geração de empregos e aumento de salários, mitigando as ineficiências e, consequentemente, fazendo com que o Estado cumpra melhor sua função alocativa. </w:t>
      </w:r>
    </w:p>
    <w:p w:rsidR="00CD16EF" w:rsidRPr="000A32A3" w:rsidRDefault="00CD16EF" w:rsidP="00982B81">
      <w:pPr>
        <w:spacing w:after="120" w:line="240" w:lineRule="auto"/>
        <w:ind w:firstLine="708"/>
        <w:rPr>
          <w:rFonts w:cs="Times New Roman"/>
        </w:rPr>
      </w:pPr>
      <w:r w:rsidRPr="000A32A3">
        <w:rPr>
          <w:rFonts w:cs="Times New Roman"/>
        </w:rPr>
        <w:t xml:space="preserve">Apesar da maioria dos estudos sobre os Fundos Constitucionais usarem os métodos paramétricos para fazer as avaliações de impactos, o </w:t>
      </w:r>
      <w:r w:rsidR="009B7F0D" w:rsidRPr="000A32A3">
        <w:rPr>
          <w:rFonts w:cs="Times New Roman"/>
        </w:rPr>
        <w:t>usual</w:t>
      </w:r>
      <w:r w:rsidRPr="000A32A3">
        <w:rPr>
          <w:rFonts w:cs="Times New Roman"/>
        </w:rPr>
        <w:t xml:space="preserve"> para avaliação de eficiência é a utilização da DEA. Inclusive, diversos estudos internacionais na área de desenvolvimento regional aplicam esta metodologia (KARKAZIS; THANASSOULIS, 1998; MARTIC; SAVIC, 2001; SCHAFFER </w:t>
      </w:r>
      <w:r w:rsidRPr="000A32A3">
        <w:rPr>
          <w:rFonts w:cs="Times New Roman"/>
          <w:i/>
        </w:rPr>
        <w:t>et al.</w:t>
      </w:r>
      <w:r w:rsidRPr="000A32A3">
        <w:rPr>
          <w:rFonts w:cs="Times New Roman"/>
        </w:rPr>
        <w:t>, 2010; ROMAN; VASILESCU, 2013).</w:t>
      </w:r>
    </w:p>
    <w:p w:rsidR="00CD16EF" w:rsidRPr="000A32A3" w:rsidRDefault="00CD16EF" w:rsidP="00982B81">
      <w:pPr>
        <w:spacing w:after="120" w:line="240" w:lineRule="auto"/>
        <w:ind w:firstLine="708"/>
        <w:rPr>
          <w:rFonts w:cs="Times New Roman"/>
        </w:rPr>
      </w:pPr>
      <w:r w:rsidRPr="000A32A3">
        <w:rPr>
          <w:rFonts w:cs="Times New Roman"/>
        </w:rPr>
        <w:t xml:space="preserve">Nos últimos anos houve um crescimento substancial do número de estudos com o objetivo de analisar a eficiência das políticas públicas, especialmente por meio da metodologia de DEA, que pode ser aplicada aos mais variados campos da ciência. De acordo com Liu </w:t>
      </w:r>
      <w:r w:rsidRPr="000A32A3">
        <w:rPr>
          <w:rFonts w:cs="Times New Roman"/>
          <w:i/>
        </w:rPr>
        <w:t>et al.</w:t>
      </w:r>
      <w:r w:rsidRPr="000A32A3">
        <w:rPr>
          <w:rFonts w:cs="Times New Roman"/>
        </w:rPr>
        <w:t xml:space="preserve"> (2013), até sua publicação eram quase 5 mil artigos sobre DEA, sendo as áreas mais pesquisadas, respectivamente: </w:t>
      </w:r>
      <w:r w:rsidRPr="000A32A3">
        <w:rPr>
          <w:rFonts w:cs="Times New Roman"/>
          <w:i/>
        </w:rPr>
        <w:t>banking</w:t>
      </w:r>
      <w:r w:rsidRPr="000A32A3">
        <w:rPr>
          <w:rFonts w:cs="Times New Roman"/>
        </w:rPr>
        <w:t xml:space="preserve">, saúde, agricultura, transporte e educação. </w:t>
      </w:r>
    </w:p>
    <w:p w:rsidR="000107EE" w:rsidRPr="000A32A3" w:rsidRDefault="00CD16EF" w:rsidP="00982B81">
      <w:pPr>
        <w:spacing w:after="120" w:line="240" w:lineRule="auto"/>
        <w:ind w:firstLine="708"/>
        <w:rPr>
          <w:rFonts w:cs="Times New Roman"/>
          <w:i/>
        </w:rPr>
      </w:pPr>
      <w:r w:rsidRPr="000A32A3">
        <w:rPr>
          <w:rFonts w:cs="Times New Roman"/>
        </w:rPr>
        <w:t xml:space="preserve">Existem outras abordagens para calcular a eficiência. Dentre elas, destaca-se o método paramétrico de fronteira estocástica, que permite realizar testes estatísticos para fazer inferência. Por outro lado, uma das vantagens da DEA à fronteira estocástica é poder avaliar múltiplos produtos com múltiplos insumos. Em segundo lugar, a análise envoltória evita fazer hipóteses a </w:t>
      </w:r>
      <w:r w:rsidRPr="000A32A3">
        <w:rPr>
          <w:rFonts w:cs="Times New Roman"/>
          <w:i/>
        </w:rPr>
        <w:t>priori</w:t>
      </w:r>
      <w:r w:rsidRPr="000A32A3">
        <w:rPr>
          <w:rFonts w:cs="Times New Roman"/>
        </w:rPr>
        <w:t xml:space="preserve"> sobre a forma funcional, isto é, não se apoia numa escolha particular de modelo paramétrico para a função de produção ou para os termos estocásticos das estimações, como por exemplo, a distribuição do termo de erro. Contudo, uma das principais desvantagens da DEA é a alta sensibilidade a observações extremas e </w:t>
      </w:r>
      <w:r w:rsidRPr="000A32A3">
        <w:rPr>
          <w:rFonts w:cs="Times New Roman"/>
          <w:i/>
        </w:rPr>
        <w:t>outliers</w:t>
      </w:r>
      <w:r w:rsidRPr="000A32A3">
        <w:rPr>
          <w:rFonts w:cs="Times New Roman"/>
        </w:rPr>
        <w:t>, que elevam o padrão de referência, ou a fronteira de eficiência</w:t>
      </w:r>
      <w:r w:rsidRPr="000A32A3">
        <w:rPr>
          <w:rFonts w:cs="Times New Roman"/>
          <w:i/>
        </w:rPr>
        <w:t>,</w:t>
      </w:r>
      <w:r w:rsidRPr="000A32A3">
        <w:rPr>
          <w:rFonts w:cs="Times New Roman"/>
        </w:rPr>
        <w:t xml:space="preserve"> tornando as demais observações aparentemente menos eficientes. Logo, este estudo utiliza uma metodologia mais robusta para tratar desse problema.</w:t>
      </w:r>
      <w:r w:rsidR="000107EE" w:rsidRPr="000A32A3">
        <w:rPr>
          <w:rFonts w:cs="Times New Roman"/>
        </w:rPr>
        <w:t xml:space="preserve"> </w:t>
      </w:r>
      <w:r w:rsidRPr="000A32A3">
        <w:rPr>
          <w:rFonts w:cs="Times New Roman"/>
        </w:rPr>
        <w:t xml:space="preserve">O método de fronteira de ordem-m, uma derivação da DEA que relaxa a hipótese de convexidade e estima a fronteira excluindo os </w:t>
      </w:r>
      <w:r w:rsidRPr="000A32A3">
        <w:rPr>
          <w:rFonts w:cs="Times New Roman"/>
          <w:i/>
        </w:rPr>
        <w:t>outliers</w:t>
      </w:r>
      <w:r w:rsidR="000107EE" w:rsidRPr="000A32A3">
        <w:rPr>
          <w:rFonts w:cs="Times New Roman"/>
          <w:i/>
        </w:rPr>
        <w:t>.</w:t>
      </w:r>
    </w:p>
    <w:p w:rsidR="00CD16EF" w:rsidRPr="000A32A3" w:rsidRDefault="002E0C5B" w:rsidP="00982B81">
      <w:pPr>
        <w:spacing w:after="120" w:line="240" w:lineRule="auto"/>
        <w:ind w:firstLine="708"/>
        <w:rPr>
          <w:rFonts w:cs="Times New Roman"/>
        </w:rPr>
      </w:pPr>
      <w:r w:rsidRPr="000A32A3">
        <w:rPr>
          <w:rFonts w:cs="Times New Roman"/>
        </w:rPr>
        <w:t xml:space="preserve">Os resultados deste estudo complementam, em certa medida, as análises de Resende, Cravo e Pires (2014) e Oliveira, Menezes e Resende (2015), que encontram impactos positivos do FCO Empresarial na geração de renda, mas não abordam a questão da eficiência. </w:t>
      </w:r>
      <w:r w:rsidR="00CD16EF" w:rsidRPr="000A32A3">
        <w:rPr>
          <w:rFonts w:cs="Times New Roman"/>
        </w:rPr>
        <w:t xml:space="preserve">Resende </w:t>
      </w:r>
      <w:r w:rsidR="00CD16EF" w:rsidRPr="000A32A3">
        <w:rPr>
          <w:rFonts w:cs="Times New Roman"/>
          <w:i/>
        </w:rPr>
        <w:t>et al.</w:t>
      </w:r>
      <w:r w:rsidR="00CD16EF" w:rsidRPr="000A32A3">
        <w:rPr>
          <w:rFonts w:cs="Times New Roman"/>
        </w:rPr>
        <w:t xml:space="preserve"> (2014) apresentam uma proposta de monitoramento e avaliação continuada dos Fundos Constitucionais, dada a lacuna existente, especialmente sobre a avaliação de eficiência, pois o esforço anterior foi de avaliações de eficácia. A proposta aborda quatro tipos de avaliação, incluindo a de eficiência com uso da DEA. Neste sentido, este estudo antecipa esta demanda e aplica o método de avaliação ao </w:t>
      </w:r>
      <w:r w:rsidR="00C41217" w:rsidRPr="000A32A3">
        <w:rPr>
          <w:rFonts w:cs="Times New Roman"/>
        </w:rPr>
        <w:t>Estado</w:t>
      </w:r>
      <w:r w:rsidR="00CD16EF" w:rsidRPr="000A32A3">
        <w:rPr>
          <w:rFonts w:cs="Times New Roman"/>
        </w:rPr>
        <w:t xml:space="preserve"> de Goiás.</w:t>
      </w:r>
    </w:p>
    <w:p w:rsidR="00833F59" w:rsidRPr="000A32A3" w:rsidRDefault="00CD16EF" w:rsidP="000A32A3">
      <w:pPr>
        <w:spacing w:after="120" w:line="240" w:lineRule="auto"/>
        <w:ind w:firstLine="708"/>
        <w:rPr>
          <w:rFonts w:cs="Times New Roman"/>
        </w:rPr>
      </w:pPr>
      <w:r w:rsidRPr="000A32A3">
        <w:rPr>
          <w:rFonts w:cs="Times New Roman"/>
        </w:rPr>
        <w:t>O estudo está dividido em seis seções, contando com esta introdução. A próxima seção faz uma revisão de literatura dos principais estudos sobre os Fundos Constitucionais e algumas aplicações de DEA no Brasil e no mundo. A terceira seção apresenta brevemente a metodologia de DEA e sua aplicação ao caso do FCO. A quarta aborda os insumos, produtos e variáveis ambientais utilizadas, aprofundando alguns conceitos e demais fontes de informações. A quinta expõe os resultados e sua análise por linha de financiamento e grupo de empresas. E, por fim, as considerações finais.</w:t>
      </w:r>
    </w:p>
    <w:p w:rsidR="00833F59" w:rsidRPr="000A32A3" w:rsidRDefault="008A1D34" w:rsidP="00833F59">
      <w:pPr>
        <w:pStyle w:val="Ttulo1"/>
        <w:numPr>
          <w:ilvl w:val="0"/>
          <w:numId w:val="17"/>
        </w:numPr>
        <w:spacing w:before="0" w:after="120" w:line="240" w:lineRule="auto"/>
        <w:rPr>
          <w:rFonts w:cs="Times New Roman"/>
        </w:rPr>
      </w:pPr>
      <w:bookmarkStart w:id="3" w:name="_Toc445241610"/>
      <w:r w:rsidRPr="000A32A3">
        <w:rPr>
          <w:rFonts w:cs="Times New Roman"/>
        </w:rPr>
        <w:lastRenderedPageBreak/>
        <w:t>Revisão de Literatura</w:t>
      </w:r>
      <w:bookmarkEnd w:id="3"/>
    </w:p>
    <w:p w:rsidR="008A1D34" w:rsidRPr="000A32A3" w:rsidRDefault="00044BA8" w:rsidP="004002D0">
      <w:pPr>
        <w:pStyle w:val="PargrafodaLista"/>
        <w:numPr>
          <w:ilvl w:val="1"/>
          <w:numId w:val="17"/>
        </w:numPr>
        <w:spacing w:line="240" w:lineRule="auto"/>
        <w:rPr>
          <w:b/>
        </w:rPr>
      </w:pPr>
      <w:r w:rsidRPr="000A32A3">
        <w:rPr>
          <w:b/>
        </w:rPr>
        <w:t>DEA</w:t>
      </w:r>
    </w:p>
    <w:p w:rsidR="0054059C" w:rsidRPr="000A32A3" w:rsidRDefault="0054059C" w:rsidP="0054059C">
      <w:pPr>
        <w:pStyle w:val="PargrafodaLista"/>
        <w:spacing w:line="240" w:lineRule="auto"/>
        <w:ind w:left="792" w:firstLine="0"/>
        <w:rPr>
          <w:b/>
        </w:rPr>
      </w:pPr>
    </w:p>
    <w:p w:rsidR="00CD16EF" w:rsidRPr="000A32A3" w:rsidRDefault="00CD16EF" w:rsidP="00982B81">
      <w:pPr>
        <w:spacing w:after="120" w:line="240" w:lineRule="auto"/>
        <w:ind w:firstLine="708"/>
        <w:rPr>
          <w:rFonts w:cs="Times New Roman"/>
        </w:rPr>
      </w:pPr>
      <w:r w:rsidRPr="000A32A3">
        <w:rPr>
          <w:rFonts w:cs="Times New Roman"/>
        </w:rPr>
        <w:t>O estudo pioneiro sobre análise envoltória de dados é de Farrell (1957), que desenvolveu um índice de eficiência técnica para a agricultura norte-americana no nível micro. Seu método aprofundou o conceito de eficiência e permitiu encontrar uma unidade de referência (</w:t>
      </w:r>
      <w:r w:rsidRPr="000A32A3">
        <w:rPr>
          <w:rFonts w:cs="Times New Roman"/>
          <w:i/>
        </w:rPr>
        <w:t>benchmarking</w:t>
      </w:r>
      <w:r w:rsidRPr="000A32A3">
        <w:rPr>
          <w:rFonts w:cs="Times New Roman"/>
        </w:rPr>
        <w:t>). A ineficiência é entendida como a distância da produção de uma determinada DMU em relação à unidade aceita como referência. Contudo, uma das aplicações que popularizou a DEA foi realizada por Charnes, Cooper e Rhodes (1978), que avaliou a eficiência de empresas assumindo retornos constantes de escala. Outro trabalho importante foi o de Banker, Charnes e Cooper (1984), o qual adotou retornos variáveis de escala. Estes modelos influenciaram fortemente a literatura e, portanto, referenciam as escolhas das escalas adotadas nas estimações por meio de suas iniciais, CCR e BCC, respectivamente.</w:t>
      </w:r>
    </w:p>
    <w:p w:rsidR="00CD16EF" w:rsidRPr="000A32A3" w:rsidRDefault="00CD16EF" w:rsidP="00982B81">
      <w:pPr>
        <w:spacing w:after="120" w:line="240" w:lineRule="auto"/>
        <w:ind w:firstLine="708"/>
        <w:rPr>
          <w:rFonts w:cs="Times New Roman"/>
        </w:rPr>
      </w:pPr>
      <w:r w:rsidRPr="000A32A3">
        <w:rPr>
          <w:rFonts w:cs="Times New Roman"/>
        </w:rPr>
        <w:t xml:space="preserve">Liu </w:t>
      </w:r>
      <w:r w:rsidRPr="000A32A3">
        <w:rPr>
          <w:rFonts w:cs="Times New Roman"/>
          <w:i/>
        </w:rPr>
        <w:t>et al.</w:t>
      </w:r>
      <w:r w:rsidRPr="000A32A3">
        <w:rPr>
          <w:rFonts w:cs="Times New Roman"/>
        </w:rPr>
        <w:t xml:space="preserve"> (2013) fazem uma extensa pesquisa sobre as aplicações de DEA publicadas em revistas indexadas pelo </w:t>
      </w:r>
      <w:r w:rsidRPr="000A32A3">
        <w:rPr>
          <w:rFonts w:cs="Times New Roman"/>
          <w:i/>
        </w:rPr>
        <w:t>Web of Science</w:t>
      </w:r>
      <w:r w:rsidRPr="000A32A3">
        <w:rPr>
          <w:rFonts w:cs="Times New Roman"/>
        </w:rPr>
        <w:t xml:space="preserve"> entre 1978 e 2010, aprofundando a revisão de literatura internacional. Eles mostram que quase dois terços das publicações em DEA são de aplicações empíricas, enquanto as demais focam no desenvolvimento da metodologia. </w:t>
      </w:r>
    </w:p>
    <w:p w:rsidR="00CD16EF" w:rsidRPr="000A32A3" w:rsidRDefault="00CD16EF" w:rsidP="00982B81">
      <w:pPr>
        <w:spacing w:after="120" w:line="240" w:lineRule="auto"/>
        <w:ind w:firstLine="708"/>
        <w:rPr>
          <w:rFonts w:cs="Times New Roman"/>
        </w:rPr>
      </w:pPr>
      <w:r w:rsidRPr="000A32A3">
        <w:rPr>
          <w:rFonts w:cs="Times New Roman"/>
        </w:rPr>
        <w:t xml:space="preserve">Boueri, Rocha e Rodopoulos (2015) apresentam alguns estudos brasileiros que utilizam DEA, especialmente na área de saúde e educação, e expõem os principais métodos de avaliação de eficiência, teórica e empiricamente. Na área de </w:t>
      </w:r>
      <w:r w:rsidRPr="000A32A3">
        <w:rPr>
          <w:rFonts w:cs="Times New Roman"/>
          <w:i/>
        </w:rPr>
        <w:t>banking</w:t>
      </w:r>
      <w:r w:rsidRPr="000A32A3">
        <w:rPr>
          <w:rFonts w:cs="Times New Roman"/>
        </w:rPr>
        <w:t xml:space="preserve">, Sousa e Souza (2014) verificam as eficiências técnicas das agências do Banco do Brasil e como estas são afetadas por algumas características exógenas. Benegas e Silva (2014) estimam a eficiência do Sistema Único de Saúde (SUS) referente às Unidades Federativas (UFs) do Brasil. Em um procedimento de dois estágios, eles utilizam DEA para analisar o impacto de insumos não discricionários na eficiência da oferta de saúde. </w:t>
      </w:r>
    </w:p>
    <w:p w:rsidR="00685E7F" w:rsidRPr="000A32A3" w:rsidRDefault="00685E7F" w:rsidP="00685E7F">
      <w:pPr>
        <w:spacing w:after="120" w:line="240" w:lineRule="auto"/>
        <w:ind w:firstLine="708"/>
        <w:rPr>
          <w:rFonts w:cs="Times New Roman"/>
        </w:rPr>
      </w:pPr>
      <w:r w:rsidRPr="000A32A3">
        <w:rPr>
          <w:rFonts w:cs="Times New Roman"/>
        </w:rPr>
        <w:t xml:space="preserve">Souza, Araújo e Tannuri-Pianto (2012) usam o modelo DEA em dois estágios para verificar que quanto maior as transferências da União, menor o esforço e a eficiência de arrecadação dos municípios. Eles aplicam o método </w:t>
      </w:r>
      <w:r w:rsidRPr="000A32A3">
        <w:rPr>
          <w:rFonts w:cs="Times New Roman"/>
          <w:i/>
        </w:rPr>
        <w:t>jackstrap</w:t>
      </w:r>
      <w:r w:rsidRPr="000A32A3">
        <w:rPr>
          <w:rFonts w:cs="Times New Roman"/>
        </w:rPr>
        <w:t xml:space="preserve"> para detectar os </w:t>
      </w:r>
      <w:r w:rsidRPr="000A32A3">
        <w:rPr>
          <w:rFonts w:cs="Times New Roman"/>
          <w:i/>
        </w:rPr>
        <w:t>outliers</w:t>
      </w:r>
      <w:r w:rsidRPr="000A32A3">
        <w:rPr>
          <w:rFonts w:cs="Times New Roman"/>
        </w:rPr>
        <w:t xml:space="preserve"> e encontram que quanto maior a população e a urbanização, variáveis usadas no segundo estágio, maior a eficiência.</w:t>
      </w:r>
    </w:p>
    <w:p w:rsidR="00685E7F" w:rsidRPr="000A32A3" w:rsidRDefault="00685E7F" w:rsidP="00685E7F">
      <w:pPr>
        <w:spacing w:after="120" w:line="240" w:lineRule="auto"/>
        <w:ind w:firstLine="708"/>
        <w:rPr>
          <w:rFonts w:cs="Times New Roman"/>
        </w:rPr>
      </w:pPr>
      <w:r w:rsidRPr="000A32A3">
        <w:rPr>
          <w:rFonts w:cs="Times New Roman"/>
        </w:rPr>
        <w:t xml:space="preserve">Yeung e Azevedo (2012) medem a eficiência da Justiça Estadual Brasileira por meio do número de juízes e auxiliares, como insumos, e o número de processos julgados, como produto. Os resultados são correlacionados com o Índice de Confiança na Justiça e indicam que a eficiência relativa varia significativamente entre os diferentes Estados. </w:t>
      </w:r>
    </w:p>
    <w:p w:rsidR="00CD16EF" w:rsidRPr="000A32A3" w:rsidRDefault="00CD16EF" w:rsidP="00982B81">
      <w:pPr>
        <w:spacing w:after="120" w:line="240" w:lineRule="auto"/>
        <w:ind w:firstLine="708"/>
        <w:rPr>
          <w:rFonts w:cs="Times New Roman"/>
          <w:color w:val="221E1F"/>
        </w:rPr>
      </w:pPr>
      <w:r w:rsidRPr="000A32A3">
        <w:rPr>
          <w:rFonts w:cs="Times New Roman"/>
        </w:rPr>
        <w:t xml:space="preserve">Gonçalves e França (2013) analisam os fatores que afetam a eficiência da gestão educacional dos municípios. O estudo captura a heterogeneidade do impacto das diversas características municipais sobre os níveis de eficiência e mostra que os recursos oriundos do Fundo de Manutenção e Desenvolvimento do Ensino Fundamental (Fundef) contribuíram no acréscimo de eficiência, evidenciando que a descentralização educacional na gestão deve vir acompanhada de aporte de recursos dos outros entes federados a fim de auxiliar os municípios. </w:t>
      </w:r>
    </w:p>
    <w:p w:rsidR="00CD16EF" w:rsidRPr="000A32A3" w:rsidRDefault="00CD16EF" w:rsidP="00982B81">
      <w:pPr>
        <w:spacing w:after="120" w:line="240" w:lineRule="auto"/>
        <w:ind w:firstLine="708"/>
        <w:rPr>
          <w:rFonts w:cs="Times New Roman"/>
        </w:rPr>
      </w:pPr>
      <w:r w:rsidRPr="000A32A3">
        <w:rPr>
          <w:rFonts w:cs="Times New Roman"/>
        </w:rPr>
        <w:t xml:space="preserve">Lima e Marinho (2014) estimam a eficiência técnica dos serviços de segurança pública subnacionais por meio do método de fronteira de ordem-m. Os resultados da meta fronteira são comparados aos resultados do agrupamento em critérios de regionalidade, demonstrando </w:t>
      </w:r>
      <w:r w:rsidRPr="000A32A3">
        <w:rPr>
          <w:rFonts w:cs="Times New Roman"/>
        </w:rPr>
        <w:lastRenderedPageBreak/>
        <w:t>que a defasagem tecnológica não se deve a fatores regionais, logo, não se pode afirmar que alguma região seja tecnologicamente atrasada em relação às demais.</w:t>
      </w:r>
    </w:p>
    <w:p w:rsidR="00CD16EF" w:rsidRPr="000A32A3" w:rsidRDefault="00CD16EF" w:rsidP="00982B81">
      <w:pPr>
        <w:spacing w:after="120" w:line="240" w:lineRule="auto"/>
        <w:ind w:firstLine="708"/>
        <w:rPr>
          <w:rFonts w:cs="Times New Roman"/>
        </w:rPr>
      </w:pPr>
      <w:r w:rsidRPr="000A32A3">
        <w:rPr>
          <w:rFonts w:cs="Times New Roman"/>
        </w:rPr>
        <w:t xml:space="preserve">No campo do desenvolvimento regional, a maior parte dos estudos que usam DEA é </w:t>
      </w:r>
      <w:r w:rsidR="00B3293A" w:rsidRPr="000A32A3">
        <w:rPr>
          <w:rFonts w:cs="Times New Roman"/>
        </w:rPr>
        <w:t>internacional</w:t>
      </w:r>
      <w:r w:rsidRPr="000A32A3">
        <w:rPr>
          <w:rFonts w:cs="Times New Roman"/>
        </w:rPr>
        <w:t>. De acordo com Martic e Savic (2001), o trabalho de Macmillan (1986) é o pioneiro a aplicar DEA na área de economia regional. Os primeiros classificam a eficiência das regiões sérvias e corroboram os resultados da DEA por meio da análise multivariada.</w:t>
      </w:r>
    </w:p>
    <w:p w:rsidR="00CD16EF" w:rsidRPr="000A32A3" w:rsidRDefault="00CD16EF" w:rsidP="00982B81">
      <w:pPr>
        <w:spacing w:after="120" w:line="240" w:lineRule="auto"/>
        <w:ind w:firstLine="708"/>
        <w:rPr>
          <w:rFonts w:cs="Times New Roman"/>
        </w:rPr>
      </w:pPr>
      <w:r w:rsidRPr="000A32A3">
        <w:rPr>
          <w:rFonts w:cs="Times New Roman"/>
        </w:rPr>
        <w:t xml:space="preserve">Karkazis e Thanassoulis (1998) usam a metodologia DEA para analisar a efetividade dos gastos governamentais na redução das disparidades regionais da Grécia. Schaffer, Simar e Rauland (2010) decompõem a eficiência de investimentos em infraestrutura de transporte e capital humano no desenvolvimento regional alemão, mais especificamente na renda per capita das regiões </w:t>
      </w:r>
      <w:r w:rsidRPr="000A32A3">
        <w:rPr>
          <w:rFonts w:cs="Times New Roman"/>
          <w:i/>
        </w:rPr>
        <w:t>Nomenclature Territorial Statistical Units</w:t>
      </w:r>
      <w:r w:rsidRPr="000A32A3">
        <w:rPr>
          <w:rFonts w:cs="Times New Roman"/>
        </w:rPr>
        <w:t xml:space="preserve"> (NUTS) 3 da União Europeia.  O estudo ainda identifica correlações espaciais no padrão de eficiência destas áreas.</w:t>
      </w:r>
    </w:p>
    <w:p w:rsidR="00CD16EF" w:rsidRPr="000A32A3" w:rsidRDefault="00CD16EF" w:rsidP="00982B81">
      <w:pPr>
        <w:spacing w:after="120" w:line="240" w:lineRule="auto"/>
        <w:ind w:firstLine="708"/>
        <w:rPr>
          <w:rFonts w:cs="Times New Roman"/>
        </w:rPr>
      </w:pPr>
      <w:r w:rsidRPr="000A32A3">
        <w:rPr>
          <w:rFonts w:cs="Times New Roman"/>
        </w:rPr>
        <w:t xml:space="preserve">Afonso e Fernandes (2006) analisam a eficiência do gasto da esfera local do </w:t>
      </w:r>
      <w:r w:rsidR="00435F22" w:rsidRPr="000A32A3">
        <w:rPr>
          <w:rFonts w:cs="Times New Roman"/>
        </w:rPr>
        <w:t xml:space="preserve">Governo Português </w:t>
      </w:r>
      <w:r w:rsidRPr="000A32A3">
        <w:rPr>
          <w:rFonts w:cs="Times New Roman"/>
        </w:rPr>
        <w:t xml:space="preserve">por meio do método não paramétrico </w:t>
      </w:r>
      <w:r w:rsidRPr="000A32A3">
        <w:rPr>
          <w:rFonts w:cs="Times New Roman"/>
          <w:i/>
        </w:rPr>
        <w:t>Free Disposal Hull</w:t>
      </w:r>
      <w:r w:rsidRPr="000A32A3">
        <w:rPr>
          <w:rFonts w:cs="Times New Roman"/>
        </w:rPr>
        <w:t xml:space="preserve"> (FDH), também baseado em técnicas de envelopamento de dados, introduzido por Deprins, Simar e Tulkens (1984). Eles usam um índice de performance municipal como produto e as despesas per capita como insumo para concluírem que existem consideráveis desperdícios de recursos nos municípios portugueses, relativos ao caso de referência. </w:t>
      </w:r>
    </w:p>
    <w:p w:rsidR="00044BA8" w:rsidRPr="000A32A3" w:rsidRDefault="00CD16EF" w:rsidP="00053140">
      <w:pPr>
        <w:spacing w:after="120" w:line="240" w:lineRule="auto"/>
        <w:ind w:firstLine="708"/>
        <w:rPr>
          <w:rFonts w:cs="Times New Roman"/>
        </w:rPr>
      </w:pPr>
      <w:r w:rsidRPr="000A32A3">
        <w:rPr>
          <w:rFonts w:cs="Times New Roman"/>
        </w:rPr>
        <w:t>O estudo de Roman e Vasilescu (2013) examina o desempenho do mercado de trabalho romeno por meio das variáveis produtividade do trabalho e participação da mão de obra. Os autores classificam as regiões da Romênia em três tipos: tecnicamente eficientes,</w:t>
      </w:r>
      <w:r w:rsidR="00190342" w:rsidRPr="000A32A3">
        <w:rPr>
          <w:rFonts w:cs="Times New Roman"/>
        </w:rPr>
        <w:t xml:space="preserve"> </w:t>
      </w:r>
      <w:r w:rsidRPr="000A32A3">
        <w:rPr>
          <w:rFonts w:cs="Times New Roman"/>
        </w:rPr>
        <w:t xml:space="preserve">médio eficientes e pouco eficientes, sendo as eficientes as áreas não ricas. </w:t>
      </w:r>
    </w:p>
    <w:p w:rsidR="00833F59" w:rsidRPr="000A32A3" w:rsidRDefault="00833F59" w:rsidP="00053140">
      <w:pPr>
        <w:spacing w:after="120" w:line="240" w:lineRule="auto"/>
        <w:ind w:firstLine="708"/>
        <w:rPr>
          <w:rFonts w:cs="Times New Roman"/>
        </w:rPr>
      </w:pPr>
    </w:p>
    <w:p w:rsidR="00044BA8" w:rsidRPr="000A32A3" w:rsidRDefault="00044BA8" w:rsidP="004002D0">
      <w:pPr>
        <w:pStyle w:val="PargrafodaLista"/>
        <w:numPr>
          <w:ilvl w:val="1"/>
          <w:numId w:val="17"/>
        </w:numPr>
        <w:spacing w:after="120" w:line="240" w:lineRule="auto"/>
        <w:rPr>
          <w:b/>
        </w:rPr>
      </w:pPr>
      <w:r w:rsidRPr="000A32A3">
        <w:rPr>
          <w:b/>
        </w:rPr>
        <w:t>Fundos Constitucionais de Financiamento</w:t>
      </w:r>
    </w:p>
    <w:p w:rsidR="0054059C" w:rsidRPr="000A32A3" w:rsidRDefault="0054059C" w:rsidP="0054059C">
      <w:pPr>
        <w:pStyle w:val="PargrafodaLista"/>
        <w:spacing w:after="120" w:line="240" w:lineRule="auto"/>
        <w:ind w:left="792" w:firstLine="0"/>
        <w:rPr>
          <w:b/>
        </w:rPr>
      </w:pPr>
    </w:p>
    <w:p w:rsidR="00CD16EF" w:rsidRPr="000A32A3" w:rsidRDefault="00CD16EF" w:rsidP="00982B81">
      <w:pPr>
        <w:spacing w:after="120" w:line="240" w:lineRule="auto"/>
        <w:ind w:firstLine="708"/>
        <w:rPr>
          <w:rFonts w:cs="Times New Roman"/>
        </w:rPr>
      </w:pPr>
      <w:r w:rsidRPr="000A32A3">
        <w:rPr>
          <w:rFonts w:cs="Times New Roman"/>
        </w:rPr>
        <w:t xml:space="preserve">A respeito dos Fundos Constitucionais de Financiamento, diversos estudos avaliam os seus impactos. Almeida, Silva e Resende (2006) verificam os efeitos dos fundos, identificando que os empréstimos não se direcionam majoritariamente para os </w:t>
      </w:r>
      <w:r w:rsidR="00C41217" w:rsidRPr="000A32A3">
        <w:rPr>
          <w:rFonts w:cs="Times New Roman"/>
        </w:rPr>
        <w:t>Estado</w:t>
      </w:r>
      <w:r w:rsidRPr="000A32A3">
        <w:rPr>
          <w:rFonts w:cs="Times New Roman"/>
        </w:rPr>
        <w:t xml:space="preserve">s/municípios mais pobres, isto é, sem existir relação direta entre desembolso e PIB per capita ou Índice de Desenvolvimento Humano (IDH). </w:t>
      </w:r>
    </w:p>
    <w:p w:rsidR="00CD16EF" w:rsidRPr="000A32A3" w:rsidRDefault="00CD16EF" w:rsidP="00982B81">
      <w:pPr>
        <w:spacing w:after="120" w:line="240" w:lineRule="auto"/>
        <w:ind w:firstLine="708"/>
        <w:rPr>
          <w:rFonts w:cs="Times New Roman"/>
        </w:rPr>
      </w:pPr>
      <w:r w:rsidRPr="000A32A3">
        <w:rPr>
          <w:rFonts w:cs="Times New Roman"/>
        </w:rPr>
        <w:t>Macedo e Mattos (2008) ressaltam a necessidade da criação de mecanismos pelo lado da oferta, já que as forças de mercado contribuem para uma distribuição menos equitativa. Os municípios mais ricos e seus vizinhos encontram-se em condições mais favoráveis para tomar empréstimos, por apresentarem condições mais vantajosas para os tomadores.</w:t>
      </w:r>
    </w:p>
    <w:p w:rsidR="00CD16EF" w:rsidRPr="000A32A3" w:rsidRDefault="00CD16EF" w:rsidP="00982B81">
      <w:pPr>
        <w:spacing w:after="120" w:line="240" w:lineRule="auto"/>
        <w:ind w:firstLine="708"/>
        <w:rPr>
          <w:rFonts w:cs="Times New Roman"/>
        </w:rPr>
      </w:pPr>
      <w:r w:rsidRPr="000A32A3">
        <w:rPr>
          <w:rFonts w:cs="Times New Roman"/>
        </w:rPr>
        <w:t>Silva, Resende e Neto (2009) avaliam a aplicação dos recursos do FNE, FNO e FCO, entre 2000 e 2003, na perspectiva das firmas. Eles estimam os impactos do fundo sobre o salário médio e o número de trabalhadores, não encontrando diferenças significativas entre o grupo de controle e de tratamento, para o FNO e FCO. Em relação à taxa de variação do número de empregados, os resultados do FNE são positivos para a aplicação dos recursos desse fundo sobre as firmas beneficiadas.</w:t>
      </w:r>
    </w:p>
    <w:p w:rsidR="00DA2A08" w:rsidRPr="000A32A3" w:rsidRDefault="0092588B">
      <w:pPr>
        <w:spacing w:after="120" w:line="240" w:lineRule="auto"/>
        <w:ind w:firstLine="708"/>
        <w:rPr>
          <w:rFonts w:cs="Times New Roman"/>
        </w:rPr>
      </w:pPr>
      <w:r w:rsidRPr="000A32A3">
        <w:rPr>
          <w:rFonts w:cs="Times New Roman"/>
        </w:rPr>
        <w:t>Soares, Sousa e Pereira Neto (2009)</w:t>
      </w:r>
      <w:r w:rsidR="00DA2A08" w:rsidRPr="000A32A3">
        <w:rPr>
          <w:rFonts w:cs="Times New Roman"/>
        </w:rPr>
        <w:t xml:space="preserve"> mostram que as empresas financiadas </w:t>
      </w:r>
      <w:r w:rsidR="00C36DCB" w:rsidRPr="000A32A3">
        <w:rPr>
          <w:rFonts w:cs="Times New Roman"/>
        </w:rPr>
        <w:t xml:space="preserve">pelo FNE </w:t>
      </w:r>
      <w:r w:rsidR="00DA2A08" w:rsidRPr="000A32A3">
        <w:rPr>
          <w:rFonts w:cs="Times New Roman"/>
        </w:rPr>
        <w:t>entre 1999 e 2005 sofreram impactos positivos no crescimento do emprego e massa salarial. De acordo com o estudo, como boa parte do fundo é voltada para regiões do semiárido do Nordeste, o financiamento pode diminuir as desigualdades regionais.</w:t>
      </w:r>
      <w:r w:rsidR="0027232C" w:rsidRPr="000A32A3">
        <w:rPr>
          <w:rFonts w:cs="Times New Roman"/>
        </w:rPr>
        <w:t xml:space="preserve"> </w:t>
      </w:r>
      <w:r w:rsidR="00C36DCB" w:rsidRPr="000A32A3">
        <w:rPr>
          <w:rFonts w:cs="Times New Roman"/>
        </w:rPr>
        <w:t>Sobretudo</w:t>
      </w:r>
      <w:r w:rsidR="0027232C" w:rsidRPr="000A32A3">
        <w:rPr>
          <w:rFonts w:cs="Times New Roman"/>
        </w:rPr>
        <w:t xml:space="preserve">, dada a </w:t>
      </w:r>
      <w:r w:rsidR="0027232C" w:rsidRPr="000A32A3">
        <w:rPr>
          <w:rFonts w:cs="Times New Roman"/>
        </w:rPr>
        <w:lastRenderedPageBreak/>
        <w:t>magnitude dos impactos encontrados, é possível que os benefícios gerados compensem os custos destes subsídios.</w:t>
      </w:r>
    </w:p>
    <w:p w:rsidR="005627AC" w:rsidRPr="000A32A3" w:rsidRDefault="005627AC">
      <w:pPr>
        <w:spacing w:after="120" w:line="240" w:lineRule="auto"/>
        <w:ind w:firstLine="708"/>
        <w:rPr>
          <w:rFonts w:cs="Times New Roman"/>
        </w:rPr>
      </w:pPr>
      <w:r w:rsidRPr="000A32A3">
        <w:rPr>
          <w:rFonts w:cs="Times New Roman"/>
        </w:rPr>
        <w:t xml:space="preserve">Young e Rocha (2009) avaliam os critérios e indicadores de sustentabilidade ambientais dos Fundos Constitucionais. </w:t>
      </w:r>
      <w:r w:rsidR="00DD0957" w:rsidRPr="000A32A3">
        <w:rPr>
          <w:rFonts w:cs="Times New Roman"/>
        </w:rPr>
        <w:t>Eles apresentam</w:t>
      </w:r>
      <w:r w:rsidRPr="000A32A3">
        <w:rPr>
          <w:rFonts w:cs="Times New Roman"/>
        </w:rPr>
        <w:t xml:space="preserve"> problemas, comuns aos três fundos</w:t>
      </w:r>
      <w:r w:rsidR="00DD0957" w:rsidRPr="000A32A3">
        <w:rPr>
          <w:rFonts w:cs="Times New Roman"/>
        </w:rPr>
        <w:t xml:space="preserve">, </w:t>
      </w:r>
      <w:r w:rsidRPr="000A32A3">
        <w:rPr>
          <w:rFonts w:cs="Times New Roman"/>
        </w:rPr>
        <w:t xml:space="preserve">que podem ser solucionados, aumentando a eficiência ambiental dos programas. </w:t>
      </w:r>
      <w:r w:rsidR="00DD0957" w:rsidRPr="000A32A3">
        <w:rPr>
          <w:rFonts w:cs="Times New Roman"/>
        </w:rPr>
        <w:t xml:space="preserve">Um exemplo é a como a heterogeneidade dos critérios de análise de risco ambiental, que gera uma tendência de concentração de recursos para grandes projetos. </w:t>
      </w:r>
      <w:r w:rsidR="00144668" w:rsidRPr="000A32A3">
        <w:rPr>
          <w:rFonts w:cs="Times New Roman"/>
        </w:rPr>
        <w:t>De acordo com o relatório, a ausência de seletividade de setores estratégicos, que deveriam ser estimulados, também contribui para a ineficiência ambiental dos fundos.</w:t>
      </w:r>
    </w:p>
    <w:p w:rsidR="00A01541" w:rsidRPr="000A32A3" w:rsidRDefault="00A01541" w:rsidP="00F4194B">
      <w:pPr>
        <w:spacing w:after="120" w:line="240" w:lineRule="auto"/>
        <w:ind w:firstLine="708"/>
        <w:rPr>
          <w:rFonts w:cs="Times New Roman"/>
        </w:rPr>
      </w:pPr>
      <w:r w:rsidRPr="000A32A3">
        <w:rPr>
          <w:rFonts w:cs="Times New Roman"/>
        </w:rPr>
        <w:t xml:space="preserve">Apesar de o estudo de Alvarenga, Pianto e Araújo (2012) não ser especificamente sobre os Fundos Constitucionais, eles avaliam os impactos dos incentivos públicos à inovação entre 2001 e 2006 por meio da função dose resposta. Os Fundos Setoriais, em certa medida, </w:t>
      </w:r>
      <w:r w:rsidR="00037CCB" w:rsidRPr="000A32A3">
        <w:rPr>
          <w:rFonts w:cs="Times New Roman"/>
        </w:rPr>
        <w:t>similares aos</w:t>
      </w:r>
      <w:r w:rsidRPr="000A32A3">
        <w:rPr>
          <w:rFonts w:cs="Times New Roman"/>
        </w:rPr>
        <w:t xml:space="preserve"> Constitucionais, subsidiam taxas de juros em empréstimos em condições mais </w:t>
      </w:r>
      <w:r w:rsidR="00C50B31" w:rsidRPr="000A32A3">
        <w:rPr>
          <w:rFonts w:cs="Times New Roman"/>
        </w:rPr>
        <w:t>favoráveis.</w:t>
      </w:r>
      <w:r w:rsidRPr="000A32A3">
        <w:rPr>
          <w:rFonts w:cs="Times New Roman"/>
        </w:rPr>
        <w:t xml:space="preserve"> </w:t>
      </w:r>
      <w:r w:rsidR="00F4194B" w:rsidRPr="000A32A3">
        <w:rPr>
          <w:rFonts w:cs="Times New Roman"/>
        </w:rPr>
        <w:t xml:space="preserve">Assim como demonstra a literatura de Fundos Constitucionais, as empresas que receberam recursos dos Fundos Setoriais </w:t>
      </w:r>
      <w:r w:rsidR="00037CCB" w:rsidRPr="000A32A3">
        <w:rPr>
          <w:rFonts w:cs="Times New Roman"/>
        </w:rPr>
        <w:t xml:space="preserve">destinados à inovação </w:t>
      </w:r>
      <w:r w:rsidR="00F4194B" w:rsidRPr="000A32A3">
        <w:rPr>
          <w:rFonts w:cs="Times New Roman"/>
        </w:rPr>
        <w:t>cresceram à taxas relativas anuais maiores que as empresas que não receberam.</w:t>
      </w:r>
      <w:r w:rsidR="00F4194B" w:rsidRPr="000A32A3" w:rsidDel="00F4194B">
        <w:rPr>
          <w:rFonts w:cs="Times New Roman"/>
        </w:rPr>
        <w:t xml:space="preserve"> </w:t>
      </w:r>
      <w:r w:rsidR="00F4194B" w:rsidRPr="000A32A3">
        <w:rPr>
          <w:rFonts w:cs="Times New Roman"/>
        </w:rPr>
        <w:t>Além disso, aquelas firmas tiveram uma taxa de exportação maior que as firmas que não foram subsidiadas.</w:t>
      </w:r>
      <w:r w:rsidR="00F4194B" w:rsidRPr="000A32A3" w:rsidDel="00F4194B">
        <w:rPr>
          <w:rFonts w:cs="Times New Roman"/>
        </w:rPr>
        <w:t xml:space="preserve"> </w:t>
      </w:r>
    </w:p>
    <w:p w:rsidR="00B43739" w:rsidRPr="000A32A3" w:rsidRDefault="00CD16EF">
      <w:pPr>
        <w:spacing w:after="120" w:line="240" w:lineRule="auto"/>
        <w:ind w:firstLine="360"/>
        <w:rPr>
          <w:rFonts w:cs="Times New Roman"/>
        </w:rPr>
      </w:pPr>
      <w:r w:rsidRPr="000A32A3">
        <w:rPr>
          <w:rFonts w:cs="Times New Roman"/>
        </w:rPr>
        <w:t>Resende (2014b) utiliza o modelo de painel com efeitos fixos para sugerir que o FNE-total apresentou impactos positivos sobre o crescimento do PIB per capita entre os anos de 2004 e 2010, nos níveis municipal e microrregional, sem efeito na escala mesorregional. Aplicando a mesma metodologia e período, Resende, Cravo e Pires (2014) pesquisam o FCO e mostram seu impacto positivo no crescimento do PIB per capita dos municípios, especialmente do programa Empresarial.</w:t>
      </w:r>
      <w:r w:rsidR="0000699D" w:rsidRPr="000A32A3">
        <w:rPr>
          <w:rFonts w:cs="Times New Roman"/>
        </w:rPr>
        <w:t xml:space="preserve"> E Soares </w:t>
      </w:r>
      <w:r w:rsidR="0000699D" w:rsidRPr="000A32A3">
        <w:rPr>
          <w:rFonts w:cs="Times New Roman"/>
          <w:i/>
        </w:rPr>
        <w:t>et al.</w:t>
      </w:r>
      <w:r w:rsidR="0000699D" w:rsidRPr="000A32A3">
        <w:rPr>
          <w:rFonts w:cs="Times New Roman"/>
        </w:rPr>
        <w:t xml:space="preserve"> (2014) </w:t>
      </w:r>
      <w:r w:rsidR="00180B39" w:rsidRPr="000A32A3">
        <w:rPr>
          <w:rFonts w:cs="Times New Roman"/>
        </w:rPr>
        <w:t>sugerem que na década de 2000 os fluxos de investimentos do FNE</w:t>
      </w:r>
      <w:r w:rsidR="0000699D" w:rsidRPr="000A32A3">
        <w:rPr>
          <w:rFonts w:cs="Times New Roman"/>
        </w:rPr>
        <w:t xml:space="preserve"> </w:t>
      </w:r>
      <w:r w:rsidR="00180B39" w:rsidRPr="000A32A3">
        <w:rPr>
          <w:rFonts w:cs="Times New Roman"/>
        </w:rPr>
        <w:t>afeta</w:t>
      </w:r>
      <w:r w:rsidR="00037CCB" w:rsidRPr="000A32A3">
        <w:rPr>
          <w:rFonts w:cs="Times New Roman"/>
        </w:rPr>
        <w:t>ra</w:t>
      </w:r>
      <w:r w:rsidR="00180B39" w:rsidRPr="000A32A3">
        <w:rPr>
          <w:rFonts w:cs="Times New Roman"/>
        </w:rPr>
        <w:t>m</w:t>
      </w:r>
      <w:r w:rsidR="00833269" w:rsidRPr="000A32A3">
        <w:rPr>
          <w:rFonts w:cs="Times New Roman"/>
        </w:rPr>
        <w:t xml:space="preserve"> (positivamente)</w:t>
      </w:r>
      <w:r w:rsidR="0000699D" w:rsidRPr="000A32A3">
        <w:rPr>
          <w:rFonts w:cs="Times New Roman"/>
        </w:rPr>
        <w:t xml:space="preserve"> </w:t>
      </w:r>
      <w:r w:rsidR="00180B39" w:rsidRPr="000A32A3">
        <w:rPr>
          <w:rFonts w:cs="Times New Roman"/>
        </w:rPr>
        <w:t>o crescim</w:t>
      </w:r>
      <w:r w:rsidR="0000699D" w:rsidRPr="000A32A3">
        <w:rPr>
          <w:rFonts w:cs="Times New Roman"/>
        </w:rPr>
        <w:t>ento</w:t>
      </w:r>
      <w:r w:rsidR="00037CCB" w:rsidRPr="000A32A3">
        <w:rPr>
          <w:rFonts w:cs="Times New Roman"/>
        </w:rPr>
        <w:t>,</w:t>
      </w:r>
      <w:r w:rsidR="00833269" w:rsidRPr="000A32A3">
        <w:rPr>
          <w:rFonts w:cs="Times New Roman"/>
        </w:rPr>
        <w:t xml:space="preserve"> </w:t>
      </w:r>
      <w:r w:rsidR="00037CCB" w:rsidRPr="000A32A3">
        <w:rPr>
          <w:rFonts w:cs="Times New Roman"/>
        </w:rPr>
        <w:t xml:space="preserve">em </w:t>
      </w:r>
      <w:r w:rsidR="0000699D" w:rsidRPr="000A32A3">
        <w:rPr>
          <w:rFonts w:cs="Times New Roman"/>
        </w:rPr>
        <w:t>diferen</w:t>
      </w:r>
      <w:r w:rsidR="00037CCB" w:rsidRPr="000A32A3">
        <w:rPr>
          <w:rFonts w:cs="Times New Roman"/>
        </w:rPr>
        <w:t>tes intensidades para quatro grupos de municípios (grupos de convergência)</w:t>
      </w:r>
      <w:r w:rsidR="00180B39" w:rsidRPr="000A32A3">
        <w:rPr>
          <w:rFonts w:cs="Times New Roman"/>
        </w:rPr>
        <w:t>.</w:t>
      </w:r>
    </w:p>
    <w:p w:rsidR="000C6D77" w:rsidRPr="000A32A3" w:rsidRDefault="00B43739" w:rsidP="008422D2">
      <w:pPr>
        <w:spacing w:after="120" w:line="240" w:lineRule="auto"/>
        <w:rPr>
          <w:rFonts w:cs="Times New Roman"/>
        </w:rPr>
      </w:pPr>
      <w:r w:rsidRPr="000A32A3">
        <w:rPr>
          <w:rFonts w:cs="Times New Roman"/>
        </w:rPr>
        <w:tab/>
      </w:r>
      <w:r w:rsidR="00037CCB" w:rsidRPr="000A32A3">
        <w:rPr>
          <w:rFonts w:cs="Times New Roman"/>
        </w:rPr>
        <w:t xml:space="preserve">Por fim, </w:t>
      </w:r>
      <w:r w:rsidRPr="000A32A3">
        <w:rPr>
          <w:rFonts w:cs="Times New Roman"/>
        </w:rPr>
        <w:t xml:space="preserve">Resende, Silva e Filho (2015) </w:t>
      </w:r>
      <w:r w:rsidR="001A6465" w:rsidRPr="000A32A3">
        <w:rPr>
          <w:rFonts w:cs="Times New Roman"/>
        </w:rPr>
        <w:t>considera</w:t>
      </w:r>
      <w:r w:rsidR="00FC7F12" w:rsidRPr="000A32A3">
        <w:rPr>
          <w:rFonts w:cs="Times New Roman"/>
        </w:rPr>
        <w:t>m</w:t>
      </w:r>
      <w:r w:rsidR="001A6465" w:rsidRPr="000A32A3">
        <w:rPr>
          <w:rFonts w:cs="Times New Roman"/>
        </w:rPr>
        <w:t xml:space="preserve"> a heterogeneidade institucionalizada pela Política Nacional de Desenvolvimento Regional (PNDR) por meio das tipologias definidas pela política</w:t>
      </w:r>
      <w:r w:rsidR="00037CCB" w:rsidRPr="000A32A3">
        <w:rPr>
          <w:rFonts w:cs="Times New Roman"/>
        </w:rPr>
        <w:t>. Eles</w:t>
      </w:r>
      <w:r w:rsidR="00FC7F12" w:rsidRPr="000A32A3">
        <w:rPr>
          <w:rFonts w:cs="Times New Roman"/>
        </w:rPr>
        <w:t xml:space="preserve"> mostram, por meio do uso de painel com efeitos fixos, que os recursos dos fundos, entre 1999 e 2011, tiveram impactos positivos sobre o crescimento do PIB </w:t>
      </w:r>
      <w:r w:rsidR="00FC7F12" w:rsidRPr="000A32A3">
        <w:rPr>
          <w:rFonts w:cs="Times New Roman"/>
          <w:i/>
        </w:rPr>
        <w:t>per capita</w:t>
      </w:r>
      <w:r w:rsidR="00FC7F12" w:rsidRPr="000A32A3">
        <w:rPr>
          <w:rFonts w:cs="Times New Roman"/>
        </w:rPr>
        <w:t xml:space="preserve"> em nível municipal e microrregional, a depender da região e da tipologia.</w:t>
      </w:r>
      <w:r w:rsidR="007F2BEA" w:rsidRPr="000A32A3">
        <w:rPr>
          <w:rFonts w:cs="Times New Roman"/>
        </w:rPr>
        <w:t xml:space="preserve"> No caso do FCO, a tipologia que teve impacto positivo foi a ‘alta renda’. </w:t>
      </w:r>
    </w:p>
    <w:p w:rsidR="00833F59" w:rsidRPr="000A32A3" w:rsidRDefault="00833F59" w:rsidP="00053140">
      <w:pPr>
        <w:spacing w:after="120" w:line="240" w:lineRule="auto"/>
        <w:ind w:firstLine="360"/>
        <w:rPr>
          <w:rFonts w:cs="Times New Roman"/>
        </w:rPr>
      </w:pPr>
    </w:p>
    <w:p w:rsidR="0054059C" w:rsidRPr="000A32A3" w:rsidRDefault="008A1D34" w:rsidP="00982B81">
      <w:pPr>
        <w:pStyle w:val="Ttulo1"/>
        <w:numPr>
          <w:ilvl w:val="0"/>
          <w:numId w:val="17"/>
        </w:numPr>
        <w:spacing w:before="0" w:after="120" w:line="240" w:lineRule="auto"/>
        <w:rPr>
          <w:rFonts w:cs="Times New Roman"/>
        </w:rPr>
      </w:pPr>
      <w:bookmarkStart w:id="4" w:name="_Toc445241611"/>
      <w:r w:rsidRPr="000A32A3">
        <w:rPr>
          <w:rFonts w:cs="Times New Roman"/>
        </w:rPr>
        <w:t>Metodologia</w:t>
      </w:r>
      <w:bookmarkEnd w:id="4"/>
    </w:p>
    <w:p w:rsidR="008A1D34" w:rsidRPr="000A32A3" w:rsidRDefault="008A1D34" w:rsidP="0054059C">
      <w:pPr>
        <w:pStyle w:val="Ttulo1"/>
        <w:spacing w:before="0" w:after="120" w:line="240" w:lineRule="auto"/>
        <w:rPr>
          <w:rFonts w:cs="Times New Roman"/>
        </w:rPr>
      </w:pPr>
    </w:p>
    <w:p w:rsidR="00CD16EF" w:rsidRPr="000A32A3" w:rsidRDefault="00CD16EF" w:rsidP="00982B81">
      <w:pPr>
        <w:spacing w:after="120" w:line="240" w:lineRule="auto"/>
        <w:ind w:firstLine="708"/>
        <w:rPr>
          <w:rFonts w:cs="Times New Roman"/>
        </w:rPr>
      </w:pPr>
      <w:r w:rsidRPr="000A32A3">
        <w:rPr>
          <w:rFonts w:cs="Times New Roman"/>
        </w:rPr>
        <w:t>Os modelos DEA e fronteira de ordem-m são empregados para verificar a eficiência dos financiamentos das empresas beneficiadas pelo FCO Empresarial, possibilitando traçar estratégias para reduzir a ineficiência da política. O primeiro método, não paramétrico e operacionalizado por programação linear, encontra quais unidades produtivas são eficientes, delineando a fronteira de produção que serve de referência (</w:t>
      </w:r>
      <w:r w:rsidRPr="000A32A3">
        <w:rPr>
          <w:rFonts w:cs="Times New Roman"/>
          <w:i/>
        </w:rPr>
        <w:t>benchmarking</w:t>
      </w:r>
      <w:r w:rsidRPr="000A32A3">
        <w:rPr>
          <w:rFonts w:cs="Times New Roman"/>
        </w:rPr>
        <w:t>) para as demais firmas traçarem suas estratégias para reduzir a ineficiência. Esse modo difere das estimações paramétricas, como as regressões, que mensuram o efeito médio das unidades observadas e assumem algumas premissas estatísticas.</w:t>
      </w:r>
    </w:p>
    <w:p w:rsidR="00CD16EF" w:rsidRPr="000A32A3" w:rsidRDefault="00CD16EF" w:rsidP="00982B81">
      <w:pPr>
        <w:spacing w:after="120" w:line="240" w:lineRule="auto"/>
        <w:ind w:firstLine="708"/>
        <w:rPr>
          <w:rFonts w:cs="Times New Roman"/>
        </w:rPr>
      </w:pPr>
      <w:r w:rsidRPr="000A32A3">
        <w:rPr>
          <w:rFonts w:cs="Times New Roman"/>
        </w:rPr>
        <w:t xml:space="preserve">O método de fronteiras estocásticas, principal concorrente na avaliação de eficiência, é dependente da escolha dos parâmetros por parte do avaliador, de modo a ser feita uma escolha </w:t>
      </w:r>
      <w:r w:rsidRPr="000A32A3">
        <w:rPr>
          <w:rFonts w:cs="Times New Roman"/>
          <w:i/>
        </w:rPr>
        <w:lastRenderedPageBreak/>
        <w:t>ad hoc</w:t>
      </w:r>
      <w:r w:rsidRPr="000A32A3">
        <w:rPr>
          <w:rFonts w:cs="Times New Roman"/>
        </w:rPr>
        <w:t>. Por outro lado, a metodologia DEA é particularmente interessante se comparada a outros métodos, por não assumir uma função de produção paramétrica</w:t>
      </w:r>
      <w:r w:rsidR="000C3576" w:rsidRPr="000A32A3">
        <w:rPr>
          <w:rFonts w:cs="Times New Roman"/>
        </w:rPr>
        <w:t xml:space="preserve"> e, consequentemente, não exigir uma fundamentação microeconômica para a escolha dos parâmetros da função de produção</w:t>
      </w:r>
      <w:r w:rsidRPr="000A32A3">
        <w:rPr>
          <w:rFonts w:cs="Times New Roman"/>
        </w:rPr>
        <w:t xml:space="preserve">. Todavia, os diferentes modelos DEA são determinados de acordo com algumas premissas relativas ao retorno de escala e orientação insumo ou produto. Neste estudo, os resultados são verificados tanto para a versão com retornos constantes (CCR) quanto com retornos variáveis (BCC). A comparação dos modelos CCR e BCC permite decompor a eficiência relativa da DMU em eficiência técnica e eficiência de escala, a qual é realizada por meio da divisão dos escores dos coeficientes dos dois modelos, já que não necessariamente as DMUs operam numa escala ótima, sendo importante verificar as eficiências de escala. </w:t>
      </w:r>
    </w:p>
    <w:p w:rsidR="00CD16EF" w:rsidRPr="000A32A3" w:rsidRDefault="00CD16EF" w:rsidP="00982B81">
      <w:pPr>
        <w:spacing w:after="120" w:line="240" w:lineRule="auto"/>
        <w:ind w:firstLine="708"/>
        <w:rPr>
          <w:rFonts w:cs="Times New Roman"/>
        </w:rPr>
      </w:pPr>
      <w:r w:rsidRPr="000A32A3">
        <w:rPr>
          <w:rFonts w:cs="Times New Roman"/>
        </w:rPr>
        <w:t xml:space="preserve">A análise é realizada com orientação baseada nos insumos, pois </w:t>
      </w:r>
      <w:r w:rsidR="00B66F4D" w:rsidRPr="000A32A3">
        <w:rPr>
          <w:rFonts w:cs="Times New Roman"/>
        </w:rPr>
        <w:t>sendo o objetivo</w:t>
      </w:r>
      <w:r w:rsidR="0085526B" w:rsidRPr="000A32A3">
        <w:rPr>
          <w:rFonts w:cs="Times New Roman"/>
        </w:rPr>
        <w:t xml:space="preserve"> do gestor do fundo</w:t>
      </w:r>
      <w:r w:rsidR="00B66F4D" w:rsidRPr="000A32A3">
        <w:rPr>
          <w:rFonts w:cs="Times New Roman"/>
        </w:rPr>
        <w:t xml:space="preserve"> aumentar a eficiência da política, </w:t>
      </w:r>
      <w:r w:rsidRPr="000A32A3">
        <w:rPr>
          <w:rFonts w:cs="Times New Roman"/>
        </w:rPr>
        <w:t>tanto o credor quanto a</w:t>
      </w:r>
      <w:r w:rsidR="00B66F4D" w:rsidRPr="000A32A3">
        <w:rPr>
          <w:rFonts w:cs="Times New Roman"/>
        </w:rPr>
        <w:t>s</w:t>
      </w:r>
      <w:r w:rsidRPr="000A32A3">
        <w:rPr>
          <w:rFonts w:cs="Times New Roman"/>
        </w:rPr>
        <w:t xml:space="preserve"> empresa</w:t>
      </w:r>
      <w:r w:rsidR="00B66F4D" w:rsidRPr="000A32A3">
        <w:rPr>
          <w:rFonts w:cs="Times New Roman"/>
        </w:rPr>
        <w:t>s</w:t>
      </w:r>
      <w:r w:rsidRPr="000A32A3">
        <w:rPr>
          <w:rFonts w:cs="Times New Roman"/>
        </w:rPr>
        <w:t xml:space="preserve"> fazem as suas escolhas em relação ao valor do financiamento. </w:t>
      </w:r>
      <w:r w:rsidR="00B66F4D" w:rsidRPr="000A32A3">
        <w:rPr>
          <w:rFonts w:cs="Times New Roman"/>
        </w:rPr>
        <w:t>A e</w:t>
      </w:r>
      <w:r w:rsidRPr="000A32A3">
        <w:rPr>
          <w:rFonts w:cs="Times New Roman"/>
        </w:rPr>
        <w:t xml:space="preserve">ficiência alocativa, com orientação no insumo, é a diferença entre a quantidade de insumo utilizada para gerar determinado nível de produto e a quantidade mínima factível de insumos necessários para produzir esse mesmo nível de produto, grosso modo, se tratando de minimização de custos (FRIED </w:t>
      </w:r>
      <w:r w:rsidRPr="000A32A3">
        <w:rPr>
          <w:rFonts w:cs="Times New Roman"/>
          <w:i/>
        </w:rPr>
        <w:t>et al.</w:t>
      </w:r>
      <w:r w:rsidRPr="000A32A3">
        <w:rPr>
          <w:rFonts w:cs="Times New Roman"/>
        </w:rPr>
        <w:t xml:space="preserve">, 2008). A alternativa, modelo orientado pelo produto, é </w:t>
      </w:r>
      <w:r w:rsidR="00B66F4D" w:rsidRPr="000A32A3">
        <w:rPr>
          <w:rFonts w:cs="Times New Roman"/>
        </w:rPr>
        <w:t>menos indicada</w:t>
      </w:r>
      <w:r w:rsidRPr="000A32A3">
        <w:rPr>
          <w:rFonts w:cs="Times New Roman"/>
        </w:rPr>
        <w:t xml:space="preserve">, pois tanto a geração de emprego quanto o incremento nos salários seriam consequências, do empréstimo concedido, ou seja, </w:t>
      </w:r>
      <w:r w:rsidRPr="000A32A3">
        <w:rPr>
          <w:rFonts w:cs="Times New Roman"/>
          <w:i/>
        </w:rPr>
        <w:t>posteriori</w:t>
      </w:r>
      <w:r w:rsidR="0085526B" w:rsidRPr="000A32A3">
        <w:rPr>
          <w:rFonts w:cs="Times New Roman"/>
        </w:rPr>
        <w:t xml:space="preserve"> à decisão dos gestores </w:t>
      </w:r>
      <w:r w:rsidRPr="000A32A3">
        <w:rPr>
          <w:rFonts w:cs="Times New Roman"/>
        </w:rPr>
        <w:t xml:space="preserve">de emprestar. </w:t>
      </w:r>
    </w:p>
    <w:p w:rsidR="00CD16EF" w:rsidRPr="000A32A3" w:rsidRDefault="00CD16EF" w:rsidP="00982B81">
      <w:pPr>
        <w:spacing w:after="120" w:line="240" w:lineRule="auto"/>
        <w:ind w:firstLine="708"/>
        <w:rPr>
          <w:rFonts w:cs="Times New Roman"/>
        </w:rPr>
      </w:pPr>
      <w:r w:rsidRPr="000A32A3">
        <w:rPr>
          <w:rFonts w:cs="Times New Roman"/>
        </w:rPr>
        <w:t>A eficiência relativa de cada DMU é calculada a partir da fronteira supracitada. Além disso, a análise é feita de acordo com o agrupamento das empresas em relação à linha de financiamento, porte e setor. Assim, a avaliação permite entender as estratégias de atuação do fundo, de modo a maximizar a eficiência e contribuir para um maior desenvolvimento regional.</w:t>
      </w:r>
    </w:p>
    <w:p w:rsidR="00CD16EF" w:rsidRPr="000A32A3" w:rsidRDefault="00CD16EF" w:rsidP="00982B81">
      <w:pPr>
        <w:spacing w:after="120" w:line="240" w:lineRule="auto"/>
        <w:ind w:firstLine="708"/>
        <w:rPr>
          <w:rFonts w:eastAsia="Arial" w:cs="Times New Roman"/>
        </w:rPr>
      </w:pPr>
      <w:r w:rsidRPr="000A32A3">
        <w:rPr>
          <w:rFonts w:cs="Times New Roman"/>
        </w:rPr>
        <w:t>Uma das dificuldades de mensurar a eficiência é quando são usados vários insumos, ou gerados diversos produtos. Para</w:t>
      </w:r>
      <w:r w:rsidRPr="000A32A3">
        <w:rPr>
          <w:rFonts w:eastAsia="Arial" w:cs="Times New Roman"/>
        </w:rPr>
        <w:t xml:space="preserve"> Lima e Marinho (2014), as principais desvantagens do modelo DEA são: resultados fortemente dependentes do conjunto de variáveis, logo, podem ser enviesados com a (ex) inclusão de um</w:t>
      </w:r>
      <w:r w:rsidRPr="000A32A3">
        <w:rPr>
          <w:rFonts w:eastAsia="Arial" w:cs="Times New Roman"/>
          <w:i/>
        </w:rPr>
        <w:t xml:space="preserve"> </w:t>
      </w:r>
      <w:r w:rsidRPr="000A32A3">
        <w:rPr>
          <w:rFonts w:eastAsia="Arial" w:cs="Times New Roman"/>
        </w:rPr>
        <w:t xml:space="preserve">insumo / produto; a posição da fronteira e resultados altamente sensíveis à influência de fatores estocásticos ou erros de medida; e, a presença de </w:t>
      </w:r>
      <w:r w:rsidRPr="000A32A3">
        <w:rPr>
          <w:rFonts w:eastAsia="Arial" w:cs="Times New Roman"/>
          <w:i/>
        </w:rPr>
        <w:t>outliers</w:t>
      </w:r>
      <w:r w:rsidRPr="000A32A3">
        <w:rPr>
          <w:rFonts w:eastAsia="Arial" w:cs="Times New Roman"/>
        </w:rPr>
        <w:t xml:space="preserve">, que podem alterar completamente os resultados. </w:t>
      </w:r>
    </w:p>
    <w:p w:rsidR="00CD16EF" w:rsidRPr="000A32A3" w:rsidRDefault="00CD16EF" w:rsidP="00982B81">
      <w:pPr>
        <w:spacing w:after="120" w:line="240" w:lineRule="auto"/>
        <w:ind w:firstLine="708"/>
        <w:rPr>
          <w:rFonts w:cs="Times New Roman"/>
        </w:rPr>
      </w:pPr>
      <w:r w:rsidRPr="000A32A3">
        <w:rPr>
          <w:rFonts w:cs="Times New Roman"/>
        </w:rPr>
        <w:t xml:space="preserve">A análise de eficiência alocativa dos financiamentos deve levar em conta os impactos que as características das empresas ou linhas de financiamento podem exercer sobre a eficiência. Além da avaliação do credor na liberação de empréstimo, fatores externos influenciam o processo produtivo, levando a um efeito não controlável na criação de emprego e renda. Portanto, é fundamental considerar a presença de tais fatores, o que Ruggiero (1994) chama de variáveis ambientais ou não discricionárias. Conforme o autor, desconsiderá-los pode levar a estimativas enviesadas da eficiência. Assim, o modelo em dois estágios, também chamado de semiparamétrico, combina a análise DEA ou ordem-m com a regressão econométrica, sendo amplamente aplicado na literatura. </w:t>
      </w:r>
    </w:p>
    <w:p w:rsidR="00CD16EF" w:rsidRPr="000A32A3" w:rsidRDefault="00CD16EF" w:rsidP="00982B81">
      <w:pPr>
        <w:spacing w:after="120" w:line="240" w:lineRule="auto"/>
        <w:rPr>
          <w:rFonts w:cs="Times New Roman"/>
        </w:rPr>
      </w:pPr>
      <w:r w:rsidRPr="000A32A3">
        <w:rPr>
          <w:rFonts w:cs="Times New Roman"/>
        </w:rPr>
        <w:t xml:space="preserve"> </w:t>
      </w:r>
      <w:r w:rsidR="00B3293A" w:rsidRPr="000A32A3">
        <w:rPr>
          <w:rFonts w:cs="Times New Roman"/>
        </w:rPr>
        <w:tab/>
      </w:r>
      <w:r w:rsidRPr="000A32A3">
        <w:rPr>
          <w:rFonts w:cs="Times New Roman"/>
        </w:rPr>
        <w:t xml:space="preserve">Na primeira etapa mensuram-se os indicadores de eficiência por meio da DEA ou estimador de ordem-m apenas com os insumos discricionários – que os gestores podem controlar. Em seguida, verifica-se o efeito decorrente das variáveis ambientais. Para isso, estimam-se os escores de eficiência encontrados na primeira etapa, ou seja, os escores são usados como variáveis dependentes na regressão com as variáveis não discricionárias. Assim, o segundo estágio verifica quais os fatores das firmas, como porte e número de trabalhadores qualificados, além da linha de financiamento (vinculada ao setor que empresa atua), afetam o </w:t>
      </w:r>
      <w:r w:rsidRPr="000A32A3">
        <w:rPr>
          <w:rFonts w:cs="Times New Roman"/>
        </w:rPr>
        <w:lastRenderedPageBreak/>
        <w:t>nível de eficiência alocativa dos financiamentos. O objetivo é separar o efeito que as variáveis ambientais exercem so</w:t>
      </w:r>
      <w:r w:rsidR="00BE617C" w:rsidRPr="000A32A3">
        <w:rPr>
          <w:rFonts w:cs="Times New Roman"/>
        </w:rPr>
        <w:t>bre a</w:t>
      </w:r>
      <w:r w:rsidRPr="000A32A3">
        <w:rPr>
          <w:rFonts w:cs="Times New Roman"/>
        </w:rPr>
        <w:t xml:space="preserve"> criação de emprego e </w:t>
      </w:r>
      <w:r w:rsidR="00BE617C" w:rsidRPr="000A32A3">
        <w:rPr>
          <w:rFonts w:cs="Times New Roman"/>
        </w:rPr>
        <w:t xml:space="preserve">o </w:t>
      </w:r>
      <w:r w:rsidRPr="000A32A3">
        <w:rPr>
          <w:rFonts w:cs="Times New Roman"/>
        </w:rPr>
        <w:t>aumento salarial, de modo a identificar seus determinantes, pois estes afetam indiretamente a eficiência na gestão do fundo de financiamento.</w:t>
      </w:r>
    </w:p>
    <w:p w:rsidR="00CD16EF" w:rsidRPr="000A32A3" w:rsidRDefault="00CD16EF" w:rsidP="00982B81">
      <w:pPr>
        <w:spacing w:after="120" w:line="240" w:lineRule="auto"/>
        <w:ind w:firstLine="708"/>
        <w:rPr>
          <w:rFonts w:cs="Times New Roman"/>
        </w:rPr>
      </w:pPr>
      <w:r w:rsidRPr="000A32A3">
        <w:rPr>
          <w:rFonts w:cs="Times New Roman"/>
        </w:rPr>
        <w:t>Não há consenso a respeito da averiguação dos fatores que afetam o crescimento das empresas via empréstimos. Na literatura não há uma teoria abrangente e as avaliações de eficiência dos financiamentos para o desenvolvimento regional são raras, dificultando uma especificação sobre os insumos e produtos a serem abordados</w:t>
      </w:r>
      <w:r w:rsidR="00095488" w:rsidRPr="000A32A3">
        <w:rPr>
          <w:rStyle w:val="Refdenotaderodap"/>
          <w:rFonts w:cs="Times New Roman"/>
        </w:rPr>
        <w:footnoteReference w:id="5"/>
      </w:r>
      <w:r w:rsidRPr="000A32A3">
        <w:rPr>
          <w:rFonts w:cs="Times New Roman"/>
        </w:rPr>
        <w:t xml:space="preserve">. Além disso, o objetivo dos Fundos Constitucionais de gerar desenvolvimento econômico e social nas macrorregiões menos desenvolvidas é amplo. </w:t>
      </w:r>
      <w:r w:rsidR="006B7479" w:rsidRPr="000A32A3">
        <w:rPr>
          <w:rFonts w:cs="Times New Roman"/>
        </w:rPr>
        <w:t>Assim</w:t>
      </w:r>
      <w:r w:rsidRPr="000A32A3">
        <w:rPr>
          <w:rFonts w:cs="Times New Roman"/>
        </w:rPr>
        <w:t xml:space="preserve">, utilizam-se variáveis similares às de Resende (2014a) e Oliveira, Menezes e Resende (2015) para identificar os fatores que influenciam os impactos do FCO no mercado de trabalho, mais especificamente, sobre os empregos e salários das empresas, inclusive, </w:t>
      </w:r>
      <w:r w:rsidR="00BE617C" w:rsidRPr="000A32A3">
        <w:rPr>
          <w:rFonts w:cs="Times New Roman"/>
        </w:rPr>
        <w:t xml:space="preserve">para </w:t>
      </w:r>
      <w:r w:rsidRPr="000A32A3">
        <w:rPr>
          <w:rFonts w:cs="Times New Roman"/>
        </w:rPr>
        <w:t>permiti</w:t>
      </w:r>
      <w:r w:rsidR="00BE617C" w:rsidRPr="000A32A3">
        <w:rPr>
          <w:rFonts w:cs="Times New Roman"/>
        </w:rPr>
        <w:t>r</w:t>
      </w:r>
      <w:r w:rsidRPr="000A32A3">
        <w:rPr>
          <w:rFonts w:cs="Times New Roman"/>
        </w:rPr>
        <w:t xml:space="preserve"> relativa comparabilidade de resultados entre as avaliações. </w:t>
      </w:r>
    </w:p>
    <w:p w:rsidR="00B3293A" w:rsidRPr="000A32A3" w:rsidRDefault="00CD16EF" w:rsidP="00053140">
      <w:pPr>
        <w:spacing w:after="120" w:line="240" w:lineRule="auto"/>
        <w:ind w:firstLine="360"/>
        <w:rPr>
          <w:rFonts w:cs="Times New Roman"/>
        </w:rPr>
      </w:pPr>
      <w:r w:rsidRPr="000A32A3">
        <w:rPr>
          <w:rFonts w:cs="Times New Roman"/>
        </w:rPr>
        <w:t>Apesar de os objetivos da política serem atingidos por meio do crescimento das empresas, o foco da análise de eficiência é a política de financiamento. Assim, considera-se o propósito mútuo do empréstimo de ser financeira e socialmente eficiente. Essas exigências não necessariamente são incompatíveis e podem até ser complementares. A seguir, apenas o estimador robusto de ordem-m tem sua metodologia aprofundada, já que os resultados do método DEA são apresentados apenas no anexo, devido à alta correlação com as estimativas da metodologia fronteira de ordem-m.</w:t>
      </w:r>
    </w:p>
    <w:p w:rsidR="00833F59" w:rsidRPr="000A32A3" w:rsidRDefault="00833F59" w:rsidP="00053140">
      <w:pPr>
        <w:spacing w:after="120" w:line="240" w:lineRule="auto"/>
        <w:ind w:firstLine="360"/>
        <w:rPr>
          <w:rFonts w:cs="Times New Roman"/>
        </w:rPr>
      </w:pPr>
    </w:p>
    <w:p w:rsidR="0054059C" w:rsidRPr="000A32A3" w:rsidRDefault="00CD16EF" w:rsidP="0054059C">
      <w:pPr>
        <w:pStyle w:val="Ttulo1"/>
        <w:numPr>
          <w:ilvl w:val="1"/>
          <w:numId w:val="17"/>
        </w:numPr>
        <w:spacing w:before="0" w:after="120" w:line="240" w:lineRule="auto"/>
        <w:rPr>
          <w:rFonts w:cs="Times New Roman"/>
        </w:rPr>
      </w:pPr>
      <w:bookmarkStart w:id="5" w:name="_Toc445241612"/>
      <w:r w:rsidRPr="000A32A3">
        <w:rPr>
          <w:rFonts w:cs="Times New Roman"/>
        </w:rPr>
        <w:t>Estimador robusto de ordem-m</w:t>
      </w:r>
      <w:bookmarkEnd w:id="5"/>
    </w:p>
    <w:p w:rsidR="001A1223" w:rsidRPr="000A32A3" w:rsidRDefault="001A1223" w:rsidP="008422D2"/>
    <w:p w:rsidR="00CD16EF" w:rsidRPr="000A32A3" w:rsidRDefault="00CD16EF" w:rsidP="00982B81">
      <w:pPr>
        <w:spacing w:after="120" w:line="240" w:lineRule="auto"/>
        <w:ind w:firstLine="708"/>
        <w:rPr>
          <w:rFonts w:cs="Times New Roman"/>
        </w:rPr>
      </w:pPr>
      <w:r w:rsidRPr="000A32A3">
        <w:rPr>
          <w:rFonts w:cs="Times New Roman"/>
        </w:rPr>
        <w:t xml:space="preserve">Uma limitação da DEA é que podem existir DMU virtuais eficientes resultantes de combinações lineares convexas de DMUs eficientes, o que nem sempre é possível. Logo, alguns estimadores robustos foram desenvolvidos. Entre eles está o modelo FDH, que relaxa o pressuposto de convexidade, isto é, permite o livre descarte de insumos na constituição da fronteira de eficiência. Ainda existem outras formas de identificar os </w:t>
      </w:r>
      <w:r w:rsidRPr="000A32A3">
        <w:rPr>
          <w:rFonts w:cs="Times New Roman"/>
          <w:i/>
        </w:rPr>
        <w:t>outliers</w:t>
      </w:r>
      <w:r w:rsidRPr="000A32A3">
        <w:rPr>
          <w:rFonts w:cs="Times New Roman"/>
        </w:rPr>
        <w:t>,</w:t>
      </w:r>
      <w:r w:rsidRPr="000A32A3">
        <w:rPr>
          <w:rFonts w:cs="Times New Roman"/>
          <w:i/>
        </w:rPr>
        <w:t xml:space="preserve"> </w:t>
      </w:r>
      <w:r w:rsidRPr="000A32A3">
        <w:rPr>
          <w:rFonts w:cs="Times New Roman"/>
        </w:rPr>
        <w:t xml:space="preserve">possibilitando uma diferente abordagem </w:t>
      </w:r>
      <w:r w:rsidR="00D628B2" w:rsidRPr="000A32A3">
        <w:rPr>
          <w:rFonts w:cs="Times New Roman"/>
        </w:rPr>
        <w:t>com</w:t>
      </w:r>
      <w:r w:rsidRPr="000A32A3">
        <w:rPr>
          <w:rFonts w:cs="Times New Roman"/>
        </w:rPr>
        <w:t xml:space="preserve"> outro modelo robusto</w:t>
      </w:r>
      <w:r w:rsidRPr="000A32A3">
        <w:rPr>
          <w:rStyle w:val="Refdenotaderodap"/>
          <w:rFonts w:cs="Times New Roman"/>
        </w:rPr>
        <w:footnoteReference w:id="6"/>
      </w:r>
      <w:r w:rsidRPr="000A32A3">
        <w:rPr>
          <w:rFonts w:cs="Times New Roman"/>
        </w:rPr>
        <w:t>.</w:t>
      </w:r>
    </w:p>
    <w:p w:rsidR="00CD16EF" w:rsidRPr="000A32A3" w:rsidRDefault="00CD16EF" w:rsidP="00982B81">
      <w:pPr>
        <w:spacing w:after="120" w:line="240" w:lineRule="auto"/>
        <w:ind w:firstLine="708"/>
        <w:rPr>
          <w:rFonts w:cs="Times New Roman"/>
        </w:rPr>
      </w:pPr>
      <w:r w:rsidRPr="000A32A3">
        <w:rPr>
          <w:rFonts w:cs="Times New Roman"/>
        </w:rPr>
        <w:t>O estimador de fronteira ordem-m, proposto por Cazals, Florens e Simar (2002), aceita o conceito de fronteira parcial, que desconsidera algumas observações e é oposto ao conceito de fronteira completa, a qual envolve todos os dados. Esta ideia generaliza o FDH, compartilhando algumas das suas propriedades estatísticas, e muda o objetivo de estimar a fronteira com o menor nível de insumos tecnicamente possível para uma determinada produção, pelo objetivo de estimar algo próximo desta fronteira excluindo algumas observações. Assim, o conceito de fronteira parcial é mais flexível que o de fronteira completa, inclusive, evitando alguns problemas inerentes à estimação de fronteira completa (SIMAR; WILSON, 2008).</w:t>
      </w:r>
    </w:p>
    <w:p w:rsidR="00CD16EF" w:rsidRPr="000A32A3" w:rsidRDefault="00CD16EF" w:rsidP="00982B81">
      <w:pPr>
        <w:spacing w:after="120" w:line="240" w:lineRule="auto"/>
        <w:ind w:firstLine="708"/>
        <w:rPr>
          <w:rFonts w:cs="Times New Roman"/>
        </w:rPr>
      </w:pPr>
      <w:r w:rsidRPr="000A32A3">
        <w:rPr>
          <w:rFonts w:cs="Times New Roman"/>
        </w:rPr>
        <w:lastRenderedPageBreak/>
        <w:t xml:space="preserve">Este estimador da fronteira parcial é consistente com o estimador de fronteira completa, permitindo que a ordem da fronteira cresça com o aumento de observações. Ademais, este estimador possui as mesmas propriedades assintóticas e converge para o estimador FDH. Contudo, em amostras finitas, estes estimadores não envolvem todos os dados, sendo mais robustos a ruído, </w:t>
      </w:r>
      <w:r w:rsidRPr="000A32A3">
        <w:rPr>
          <w:rFonts w:cs="Times New Roman"/>
          <w:i/>
        </w:rPr>
        <w:t>outliers</w:t>
      </w:r>
      <w:r w:rsidRPr="000A32A3">
        <w:rPr>
          <w:rFonts w:cs="Times New Roman"/>
        </w:rPr>
        <w:t xml:space="preserve"> e valores extremos que os estimadores DEA ou FDH.  </w:t>
      </w:r>
    </w:p>
    <w:p w:rsidR="00CD16EF" w:rsidRPr="000A32A3" w:rsidRDefault="00CD16EF" w:rsidP="00982B81">
      <w:pPr>
        <w:spacing w:after="120" w:line="240" w:lineRule="auto"/>
        <w:ind w:firstLine="708"/>
        <w:rPr>
          <w:rFonts w:eastAsiaTheme="minorEastAsia" w:cs="Times New Roman"/>
        </w:rPr>
      </w:pPr>
      <w:r w:rsidRPr="000A32A3">
        <w:rPr>
          <w:rFonts w:cs="Times New Roman"/>
        </w:rPr>
        <w:t xml:space="preserve">Simar e Wilson (2008) apresentam o estimador não paramétrico fronteira de ordem-m, o qual é reproduzido adiante com a orientação insumo. Considere uma tecnologia de produção onde a atividade das unidades de produção é caracterizada por um conjunto de insumos </w:t>
      </w:r>
      <m:oMath>
        <m:r>
          <w:rPr>
            <w:rFonts w:ascii="Cambria Math" w:eastAsiaTheme="minorEastAsia" w:hAnsi="Cambria Math" w:cs="Times New Roman"/>
          </w:rPr>
          <m:t>x</m:t>
        </m:r>
        <m:r>
          <w:rPr>
            <w:rFonts w:ascii="Cambria Math" w:eastAsia="Arial Narrow" w:hAnsi="Cambria Math" w:cs="Times New Roman"/>
          </w:rPr>
          <m:t>∈</m:t>
        </m:r>
        <m:sSubSup>
          <m:sSubSupPr>
            <m:ctrlPr>
              <w:rPr>
                <w:rFonts w:ascii="Cambria Math" w:eastAsia="Arial Narrow" w:hAnsi="Cambria Math" w:cs="Times New Roman"/>
                <w:i/>
              </w:rPr>
            </m:ctrlPr>
          </m:sSubSupPr>
          <m:e>
            <m:r>
              <w:rPr>
                <w:rFonts w:ascii="Cambria Math" w:eastAsia="Arial Narrow" w:hAnsi="Cambria Math" w:cs="Times New Roman"/>
              </w:rPr>
              <m:t>R</m:t>
            </m:r>
          </m:e>
          <m:sub>
            <m:r>
              <w:rPr>
                <w:rFonts w:ascii="Cambria Math" w:eastAsia="Arial Narrow" w:hAnsi="Cambria Math" w:cs="Times New Roman"/>
              </w:rPr>
              <m:t>+</m:t>
            </m:r>
          </m:sub>
          <m:sup>
            <m:r>
              <w:rPr>
                <w:rFonts w:ascii="Cambria Math" w:eastAsia="Arial Narrow" w:hAnsi="Cambria Math" w:cs="Times New Roman"/>
              </w:rPr>
              <m:t>p</m:t>
            </m:r>
          </m:sup>
        </m:sSubSup>
      </m:oMath>
      <w:r w:rsidRPr="000A32A3">
        <w:rPr>
          <w:rFonts w:eastAsiaTheme="minorEastAsia" w:cs="Times New Roman"/>
        </w:rPr>
        <w:t xml:space="preserve"> usado para produzir o conjunto de produtos </w:t>
      </w:r>
      <m:oMath>
        <m:r>
          <w:rPr>
            <w:rFonts w:ascii="Cambria Math" w:eastAsiaTheme="minorEastAsia" w:hAnsi="Cambria Math" w:cs="Times New Roman"/>
          </w:rPr>
          <m:t>y</m:t>
        </m:r>
        <m:r>
          <w:rPr>
            <w:rFonts w:ascii="Cambria Math" w:eastAsia="Arial Narrow" w:hAnsi="Cambria Math" w:cs="Times New Roman"/>
          </w:rPr>
          <m:t>∈</m:t>
        </m:r>
        <m:sSubSup>
          <m:sSubSupPr>
            <m:ctrlPr>
              <w:rPr>
                <w:rFonts w:ascii="Cambria Math" w:eastAsia="Arial Narrow" w:hAnsi="Cambria Math" w:cs="Times New Roman"/>
                <w:i/>
              </w:rPr>
            </m:ctrlPr>
          </m:sSubSupPr>
          <m:e>
            <m:r>
              <w:rPr>
                <w:rFonts w:ascii="Cambria Math" w:eastAsia="Arial Narrow" w:hAnsi="Cambria Math" w:cs="Times New Roman"/>
              </w:rPr>
              <m:t>R</m:t>
            </m:r>
          </m:e>
          <m:sub>
            <m:r>
              <w:rPr>
                <w:rFonts w:ascii="Cambria Math" w:eastAsia="Arial Narrow" w:hAnsi="Cambria Math" w:cs="Times New Roman"/>
              </w:rPr>
              <m:t>+</m:t>
            </m:r>
          </m:sub>
          <m:sup>
            <m:r>
              <w:rPr>
                <w:rFonts w:ascii="Cambria Math" w:eastAsia="Arial Narrow" w:hAnsi="Cambria Math" w:cs="Times New Roman"/>
              </w:rPr>
              <m:t>q</m:t>
            </m:r>
          </m:sup>
        </m:sSubSup>
      </m:oMath>
      <w:r w:rsidRPr="000A32A3">
        <w:rPr>
          <w:rFonts w:eastAsiaTheme="minorEastAsia" w:cs="Times New Roman"/>
        </w:rPr>
        <w:t>. Este conjunto de produção é definido como:</w:t>
      </w:r>
    </w:p>
    <w:p w:rsidR="00CD16EF" w:rsidRPr="000A32A3" w:rsidRDefault="00CD16EF" w:rsidP="00982B81">
      <w:pPr>
        <w:spacing w:after="120" w:line="240" w:lineRule="auto"/>
        <w:rPr>
          <w:rFonts w:cs="Times New Roman"/>
        </w:rPr>
      </w:pPr>
      <m:oMath>
        <m:r>
          <m:rPr>
            <m:sty m:val="p"/>
          </m:rPr>
          <w:rPr>
            <w:rFonts w:ascii="Cambria Math" w:eastAsia="Arial Narrow" w:hAnsi="Cambria Math" w:cs="Times New Roman"/>
          </w:rPr>
          <m:t>Ψ</m:t>
        </m:r>
        <m:r>
          <w:rPr>
            <w:rFonts w:ascii="Cambria Math" w:eastAsia="Arial Narrow" w:hAnsi="Cambria Math" w:cs="Times New Roman"/>
          </w:rPr>
          <m:t>=</m:t>
        </m:r>
        <m:d>
          <m:dPr>
            <m:begChr m:val="{"/>
            <m:endChr m:val="|"/>
            <m:ctrlPr>
              <w:rPr>
                <w:rFonts w:ascii="Cambria Math" w:eastAsia="Arial Narrow" w:hAnsi="Cambria Math" w:cs="Times New Roman"/>
                <w:i/>
              </w:rPr>
            </m:ctrlPr>
          </m:dPr>
          <m:e>
            <m:d>
              <m:dPr>
                <m:ctrlPr>
                  <w:rPr>
                    <w:rFonts w:ascii="Cambria Math" w:eastAsia="Arial Narrow" w:hAnsi="Cambria Math" w:cs="Times New Roman"/>
                    <w:i/>
                  </w:rPr>
                </m:ctrlPr>
              </m:dPr>
              <m:e>
                <m:r>
                  <w:rPr>
                    <w:rFonts w:ascii="Cambria Math" w:eastAsia="Arial Narrow" w:hAnsi="Cambria Math" w:cs="Times New Roman"/>
                  </w:rPr>
                  <m:t>x,y</m:t>
                </m:r>
              </m:e>
            </m:d>
            <m:r>
              <w:rPr>
                <w:rFonts w:ascii="Cambria Math" w:eastAsia="Arial Narrow" w:hAnsi="Cambria Math" w:cs="Times New Roman"/>
              </w:rPr>
              <m:t>∈</m:t>
            </m:r>
            <m:sSubSup>
              <m:sSubSupPr>
                <m:ctrlPr>
                  <w:rPr>
                    <w:rFonts w:ascii="Cambria Math" w:eastAsia="Arial Narrow" w:hAnsi="Cambria Math" w:cs="Times New Roman"/>
                    <w:i/>
                  </w:rPr>
                </m:ctrlPr>
              </m:sSubSupPr>
              <m:e>
                <m:r>
                  <w:rPr>
                    <w:rFonts w:ascii="Cambria Math" w:eastAsia="Arial Narrow" w:hAnsi="Cambria Math" w:cs="Times New Roman"/>
                  </w:rPr>
                  <m:t>R</m:t>
                </m:r>
              </m:e>
              <m:sub>
                <m:r>
                  <w:rPr>
                    <w:rFonts w:ascii="Cambria Math" w:eastAsia="Arial Narrow" w:hAnsi="Cambria Math" w:cs="Times New Roman"/>
                  </w:rPr>
                  <m:t>+</m:t>
                </m:r>
              </m:sub>
              <m:sup>
                <m:r>
                  <w:rPr>
                    <w:rFonts w:ascii="Cambria Math" w:eastAsia="Arial Narrow" w:hAnsi="Cambria Math" w:cs="Times New Roman"/>
                  </w:rPr>
                  <m:t>p+q</m:t>
                </m:r>
              </m:sup>
            </m:sSubSup>
            <m:r>
              <w:rPr>
                <w:rFonts w:ascii="Cambria Math" w:eastAsia="Arial Narrow" w:hAnsi="Cambria Math" w:cs="Times New Roman"/>
              </w:rPr>
              <m:t xml:space="preserve"> </m:t>
            </m:r>
            <m:ctrlPr>
              <w:rPr>
                <w:rFonts w:ascii="Cambria Math" w:eastAsia="CMSY10" w:hAnsi="Cambria Math" w:cs="Times New Roman"/>
                <w:i/>
                <w:iCs/>
                <w:sz w:val="20"/>
                <w:szCs w:val="20"/>
              </w:rPr>
            </m:ctrlPr>
          </m:e>
        </m:d>
        <m:r>
          <w:rPr>
            <w:rFonts w:ascii="Cambria Math" w:eastAsia="Arial Narrow" w:hAnsi="Cambria Math" w:cs="Times New Roman"/>
          </w:rPr>
          <m:t xml:space="preserve"> x pode produzir y</m:t>
        </m:r>
        <m:r>
          <w:rPr>
            <w:rFonts w:ascii="Cambria Math" w:eastAsiaTheme="minorEastAsia" w:hAnsi="Cambria Math" w:cs="Times New Roman"/>
          </w:rPr>
          <m:t>}</m:t>
        </m:r>
      </m:oMath>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t>(1)</w:t>
      </w:r>
    </w:p>
    <w:p w:rsidR="00CD16EF" w:rsidRPr="000A32A3" w:rsidRDefault="00CD16EF" w:rsidP="00982B81">
      <w:pPr>
        <w:spacing w:after="120" w:line="240" w:lineRule="auto"/>
        <w:ind w:firstLine="708"/>
        <w:rPr>
          <w:rFonts w:cs="Times New Roman"/>
        </w:rPr>
      </w:pPr>
      <w:r w:rsidRPr="000A32A3">
        <w:rPr>
          <w:rFonts w:cs="Times New Roman"/>
        </w:rPr>
        <w:t xml:space="preserve">O processo pode ser modelado em relação à probabilidade da função de distribuição. Os escores de eficiência são caracterizados por propriedades da distribuição condicional </w:t>
      </w:r>
      <m:oMath>
        <m:sSub>
          <m:sSubPr>
            <m:ctrlPr>
              <w:rPr>
                <w:rFonts w:ascii="Cambria Math" w:eastAsia="Arial Narrow" w:hAnsi="Cambria Math" w:cs="Times New Roman"/>
                <w:i/>
              </w:rPr>
            </m:ctrlPr>
          </m:sSubPr>
          <m:e>
            <m:r>
              <w:rPr>
                <w:rFonts w:ascii="Cambria Math" w:eastAsia="Arial Narrow" w:hAnsi="Cambria Math" w:cs="Times New Roman"/>
              </w:rPr>
              <m:t>F</m:t>
            </m:r>
          </m:e>
          <m:sub>
            <m:r>
              <w:rPr>
                <w:rFonts w:ascii="Cambria Math" w:eastAsia="Arial Narrow" w:hAnsi="Cambria Math" w:cs="Times New Roman"/>
              </w:rPr>
              <m:t>X</m:t>
            </m:r>
            <m:r>
              <m:rPr>
                <m:sty m:val="p"/>
              </m:rPr>
              <w:rPr>
                <w:rFonts w:ascii="Cambria Math" w:eastAsia="MTSYN" w:hAnsi="Cambria Math" w:cs="Times New Roman"/>
                <w:sz w:val="20"/>
                <w:szCs w:val="20"/>
              </w:rPr>
              <m:t>|</m:t>
            </m:r>
            <m:r>
              <w:rPr>
                <w:rFonts w:ascii="Cambria Math" w:eastAsia="Arial Narrow" w:hAnsi="Cambria Math" w:cs="Times New Roman"/>
              </w:rPr>
              <m:t>Y</m:t>
            </m:r>
          </m:sub>
        </m:sSub>
        <m:r>
          <w:rPr>
            <w:rFonts w:ascii="Cambria Math" w:eastAsia="Arial Narrow" w:hAnsi="Cambria Math" w:cs="Times New Roman"/>
          </w:rPr>
          <m:t>(x</m:t>
        </m:r>
        <m:r>
          <m:rPr>
            <m:sty m:val="p"/>
          </m:rPr>
          <w:rPr>
            <w:rFonts w:ascii="Cambria Math" w:eastAsia="MTSYN" w:hAnsi="Cambria Math" w:cs="Times New Roman"/>
            <w:sz w:val="20"/>
            <w:szCs w:val="20"/>
          </w:rPr>
          <m:t>|</m:t>
        </m:r>
        <m:r>
          <w:rPr>
            <w:rFonts w:ascii="Cambria Math" w:eastAsia="Arial Narrow" w:hAnsi="Cambria Math" w:cs="Times New Roman"/>
          </w:rPr>
          <m:t>y)=Prob</m:t>
        </m:r>
        <m:d>
          <m:dPr>
            <m:endChr m:val="|"/>
            <m:ctrlPr>
              <w:rPr>
                <w:rFonts w:ascii="Cambria Math" w:eastAsia="Arial Narrow" w:hAnsi="Cambria Math" w:cs="Times New Roman"/>
                <w:i/>
              </w:rPr>
            </m:ctrlPr>
          </m:dPr>
          <m:e>
            <m:r>
              <w:rPr>
                <w:rFonts w:ascii="Cambria Math" w:eastAsia="Arial Narrow" w:hAnsi="Cambria Math" w:cs="Times New Roman"/>
              </w:rPr>
              <m:t xml:space="preserve">X≤x </m:t>
            </m:r>
            <m:ctrlPr>
              <w:rPr>
                <w:rFonts w:ascii="Cambria Math" w:eastAsia="MTSYN" w:hAnsi="Cambria Math" w:cs="Times New Roman"/>
                <w:sz w:val="20"/>
                <w:szCs w:val="20"/>
              </w:rPr>
            </m:ctrlPr>
          </m:e>
        </m:d>
        <m:r>
          <w:rPr>
            <w:rFonts w:ascii="Cambria Math" w:eastAsia="Arial Narrow" w:hAnsi="Cambria Math" w:cs="Times New Roman"/>
          </w:rPr>
          <m:t>Y≥y )</m:t>
        </m:r>
      </m:oMath>
      <w:r w:rsidRPr="000A32A3">
        <w:rPr>
          <w:rFonts w:eastAsiaTheme="minorEastAsia" w:cs="Times New Roman"/>
        </w:rPr>
        <w:t xml:space="preserve">, que descreve o comportamento das firmas que produzem pelo menos o nível de produção </w:t>
      </w:r>
      <m:oMath>
        <m:r>
          <w:rPr>
            <w:rFonts w:ascii="Cambria Math" w:eastAsia="Arial Narrow" w:hAnsi="Cambria Math" w:cs="Times New Roman"/>
          </w:rPr>
          <m:t>y</m:t>
        </m:r>
      </m:oMath>
      <w:r w:rsidRPr="000A32A3">
        <w:rPr>
          <w:rFonts w:eastAsia="Arial Narrow" w:cs="Times New Roman"/>
        </w:rPr>
        <w:t>. Em termos do escore de eficiência do insumo, assume-se o livre descarte ou disponibilidade (não convexidade):</w:t>
      </w:r>
    </w:p>
    <w:p w:rsidR="00CD16EF" w:rsidRPr="000A32A3" w:rsidRDefault="00CD16EF" w:rsidP="00982B81">
      <w:pPr>
        <w:spacing w:after="120" w:line="240" w:lineRule="auto"/>
        <w:rPr>
          <w:rFonts w:cs="Times New Roman"/>
        </w:rPr>
      </w:pPr>
      <m:oMath>
        <m:r>
          <w:rPr>
            <w:rFonts w:ascii="Cambria Math" w:eastAsia="Arial Narrow" w:hAnsi="Cambria Math" w:cs="Times New Roman"/>
          </w:rPr>
          <m:t>θ</m:t>
        </m:r>
        <m:d>
          <m:dPr>
            <m:ctrlPr>
              <w:rPr>
                <w:rFonts w:ascii="Cambria Math" w:eastAsia="Arial Narrow" w:hAnsi="Cambria Math" w:cs="Times New Roman"/>
                <w:i/>
              </w:rPr>
            </m:ctrlPr>
          </m:dPr>
          <m:e>
            <m:r>
              <w:rPr>
                <w:rFonts w:ascii="Cambria Math" w:eastAsia="Arial Narrow" w:hAnsi="Cambria Math" w:cs="Times New Roman"/>
              </w:rPr>
              <m:t>x,y</m:t>
            </m:r>
          </m:e>
        </m:d>
        <m:r>
          <w:rPr>
            <w:rFonts w:ascii="Cambria Math" w:eastAsia="Arial Narrow" w:hAnsi="Cambria Math" w:cs="Times New Roman"/>
          </w:rPr>
          <m:t>=</m:t>
        </m:r>
        <m:func>
          <m:funcPr>
            <m:ctrlPr>
              <w:rPr>
                <w:rFonts w:ascii="Cambria Math" w:eastAsia="Arial Narrow" w:hAnsi="Cambria Math" w:cs="Times New Roman"/>
              </w:rPr>
            </m:ctrlPr>
          </m:funcPr>
          <m:fName>
            <m:r>
              <m:rPr>
                <m:sty m:val="p"/>
              </m:rPr>
              <w:rPr>
                <w:rFonts w:ascii="Cambria Math" w:eastAsia="Arial Narrow" w:hAnsi="Cambria Math" w:cs="Times New Roman"/>
              </w:rPr>
              <m:t>inf</m:t>
            </m:r>
          </m:fName>
          <m:e>
            <m:r>
              <w:rPr>
                <w:rFonts w:ascii="Cambria Math" w:eastAsia="Arial Narrow" w:hAnsi="Cambria Math" w:cs="Times New Roman"/>
              </w:rPr>
              <m:t xml:space="preserve"> </m:t>
            </m:r>
            <m:d>
              <m:dPr>
                <m:begChr m:val="{"/>
                <m:endChr m:val="}"/>
                <m:ctrlPr>
                  <w:rPr>
                    <w:rFonts w:ascii="Cambria Math" w:eastAsia="Arial Narrow" w:hAnsi="Cambria Math" w:cs="Times New Roman"/>
                    <w:i/>
                  </w:rPr>
                </m:ctrlPr>
              </m:dPr>
              <m:e>
                <m:r>
                  <w:rPr>
                    <w:rFonts w:ascii="Cambria Math" w:eastAsia="Arial Narrow" w:hAnsi="Cambria Math" w:cs="Times New Roman"/>
                  </w:rPr>
                  <m:t xml:space="preserve">θ </m:t>
                </m:r>
                <m:r>
                  <m:rPr>
                    <m:sty m:val="p"/>
                  </m:rPr>
                  <w:rPr>
                    <w:rFonts w:ascii="Cambria Math" w:eastAsia="MTSYN" w:hAnsi="Cambria Math" w:cs="Times New Roman"/>
                    <w:sz w:val="20"/>
                    <w:szCs w:val="20"/>
                  </w:rPr>
                  <m:t xml:space="preserve">| </m:t>
                </m:r>
                <m:sSub>
                  <m:sSubPr>
                    <m:ctrlPr>
                      <w:rPr>
                        <w:rFonts w:ascii="Cambria Math" w:eastAsia="Arial Narrow" w:hAnsi="Cambria Math" w:cs="Times New Roman"/>
                        <w:i/>
                      </w:rPr>
                    </m:ctrlPr>
                  </m:sSubPr>
                  <m:e>
                    <m:r>
                      <w:rPr>
                        <w:rFonts w:ascii="Cambria Math" w:eastAsia="Arial Narrow" w:hAnsi="Cambria Math" w:cs="Times New Roman"/>
                      </w:rPr>
                      <m:t>F</m:t>
                    </m:r>
                  </m:e>
                  <m:sub>
                    <m:r>
                      <w:rPr>
                        <w:rFonts w:ascii="Cambria Math" w:eastAsia="Arial Narrow" w:hAnsi="Cambria Math" w:cs="Times New Roman"/>
                      </w:rPr>
                      <m:t>X</m:t>
                    </m:r>
                    <m:r>
                      <m:rPr>
                        <m:sty m:val="p"/>
                      </m:rPr>
                      <w:rPr>
                        <w:rFonts w:ascii="Cambria Math" w:eastAsia="MTSYN" w:hAnsi="Cambria Math" w:cs="Times New Roman"/>
                        <w:sz w:val="20"/>
                        <w:szCs w:val="20"/>
                      </w:rPr>
                      <m:t>|</m:t>
                    </m:r>
                    <m:r>
                      <w:rPr>
                        <w:rFonts w:ascii="Cambria Math" w:eastAsia="Arial Narrow" w:hAnsi="Cambria Math" w:cs="Times New Roman"/>
                      </w:rPr>
                      <m:t>Y</m:t>
                    </m:r>
                  </m:sub>
                </m:sSub>
                <m:d>
                  <m:dPr>
                    <m:ctrlPr>
                      <w:rPr>
                        <w:rFonts w:ascii="Cambria Math" w:eastAsia="Arial Narrow" w:hAnsi="Cambria Math" w:cs="Times New Roman"/>
                        <w:i/>
                      </w:rPr>
                    </m:ctrlPr>
                  </m:dPr>
                  <m:e>
                    <m:r>
                      <w:rPr>
                        <w:rFonts w:ascii="Cambria Math" w:eastAsia="Arial Narrow" w:hAnsi="Cambria Math" w:cs="Times New Roman"/>
                      </w:rPr>
                      <m:t>θx,y</m:t>
                    </m:r>
                  </m:e>
                </m:d>
                <m:r>
                  <w:rPr>
                    <w:rFonts w:ascii="Cambria Math" w:eastAsia="Arial Narrow" w:hAnsi="Cambria Math" w:cs="Times New Roman"/>
                  </w:rPr>
                  <m:t>&gt;0</m:t>
                </m:r>
              </m:e>
            </m:d>
            <m:ctrlPr>
              <w:rPr>
                <w:rFonts w:ascii="Cambria Math" w:eastAsia="Arial Narrow" w:hAnsi="Cambria Math" w:cs="Times New Roman"/>
                <w:i/>
              </w:rPr>
            </m:ctrlPr>
          </m:e>
        </m:func>
      </m:oMath>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t>(2)</w:t>
      </w:r>
    </w:p>
    <w:p w:rsidR="00CD16EF" w:rsidRPr="000A32A3" w:rsidRDefault="00CD16EF" w:rsidP="00982B81">
      <w:pPr>
        <w:spacing w:after="120" w:line="240" w:lineRule="auto"/>
        <w:ind w:firstLine="708"/>
        <w:rPr>
          <w:rFonts w:eastAsiaTheme="minorEastAsia" w:cs="Times New Roman"/>
        </w:rPr>
      </w:pPr>
      <w:r w:rsidRPr="000A32A3">
        <w:rPr>
          <w:rFonts w:cs="Times New Roman"/>
        </w:rPr>
        <w:t xml:space="preserve">A fronteira completa pode ser vista como o mínimo realizável de insumos para todas as plantas tecnicamente factíveis das firmas que produzem o nível </w:t>
      </w:r>
      <m:oMath>
        <m:r>
          <w:rPr>
            <w:rFonts w:ascii="Cambria Math" w:eastAsia="Arial Narrow" w:hAnsi="Cambria Math" w:cs="Times New Roman"/>
          </w:rPr>
          <m:t>y</m:t>
        </m:r>
      </m:oMath>
      <w:r w:rsidRPr="000A32A3">
        <w:rPr>
          <w:rFonts w:eastAsiaTheme="minorEastAsia" w:cs="Times New Roman"/>
        </w:rPr>
        <w:t xml:space="preserve"> de produtos. Uma referência alternativa é obtida pela definição do mínimo esperado de insumos usado por quaisquer </w:t>
      </w:r>
      <m:oMath>
        <m:r>
          <w:rPr>
            <w:rFonts w:ascii="Cambria Math" w:eastAsiaTheme="minorEastAsia" w:hAnsi="Cambria Math" w:cs="Times New Roman"/>
          </w:rPr>
          <m:t>m</m:t>
        </m:r>
      </m:oMath>
      <w:r w:rsidRPr="000A32A3">
        <w:rPr>
          <w:rFonts w:eastAsiaTheme="minorEastAsia" w:cs="Times New Roman"/>
        </w:rPr>
        <w:t xml:space="preserve"> firmas escolhidas aleatoriamente da população e produzindo pelo menos o nível </w:t>
      </w:r>
      <m:oMath>
        <m:r>
          <w:rPr>
            <w:rFonts w:ascii="Cambria Math" w:eastAsia="Arial Narrow" w:hAnsi="Cambria Math" w:cs="Times New Roman"/>
          </w:rPr>
          <m:t>y</m:t>
        </m:r>
      </m:oMath>
      <w:r w:rsidRPr="000A32A3">
        <w:rPr>
          <w:rFonts w:eastAsiaTheme="minorEastAsia" w:cs="Times New Roman"/>
        </w:rPr>
        <w:t xml:space="preserve"> de produtos. Quando </w:t>
      </w:r>
      <m:oMath>
        <m:r>
          <w:rPr>
            <w:rFonts w:ascii="Cambria Math" w:eastAsiaTheme="minorEastAsia" w:hAnsi="Cambria Math" w:cs="Times New Roman"/>
          </w:rPr>
          <m:t>m</m:t>
        </m:r>
      </m:oMath>
      <w:r w:rsidRPr="000A32A3">
        <w:rPr>
          <w:rFonts w:eastAsiaTheme="minorEastAsia" w:cs="Times New Roman"/>
        </w:rPr>
        <w:t xml:space="preserve"> tende a infinito, o problema se torna idêntico ao da estimação FDH da fronteira completa </w:t>
      </w:r>
      <m:oMath>
        <m:r>
          <w:rPr>
            <w:rFonts w:ascii="Cambria Math" w:eastAsia="Arial Narrow" w:hAnsi="Cambria Math" w:cs="Times New Roman"/>
          </w:rPr>
          <m:t>∂</m:t>
        </m:r>
        <m:r>
          <m:rPr>
            <m:sty m:val="p"/>
          </m:rPr>
          <w:rPr>
            <w:rFonts w:ascii="Cambria Math" w:eastAsia="Arial Narrow" w:hAnsi="Cambria Math" w:cs="Times New Roman"/>
          </w:rPr>
          <m:t>Ψ</m:t>
        </m:r>
      </m:oMath>
      <w:r w:rsidRPr="000A32A3">
        <w:rPr>
          <w:rFonts w:eastAsiaTheme="minorEastAsia" w:cs="Times New Roman"/>
        </w:rPr>
        <w:t>.</w:t>
      </w:r>
    </w:p>
    <w:p w:rsidR="00CD16EF" w:rsidRPr="000A32A3" w:rsidRDefault="00CD16EF" w:rsidP="00982B81">
      <w:pPr>
        <w:spacing w:after="120" w:line="240" w:lineRule="auto"/>
        <w:ind w:firstLine="708"/>
        <w:rPr>
          <w:rFonts w:eastAsiaTheme="minorEastAsia" w:cs="Times New Roman"/>
        </w:rPr>
      </w:pPr>
      <w:r w:rsidRPr="000A32A3">
        <w:rPr>
          <w:rFonts w:eastAsiaTheme="minorEastAsia" w:cs="Times New Roman"/>
        </w:rPr>
        <w:t xml:space="preserve">Suponha o nível de produto dado por </w:t>
      </w:r>
      <m:oMath>
        <m:r>
          <w:rPr>
            <w:rFonts w:ascii="Cambria Math" w:eastAsia="Arial Narrow" w:hAnsi="Cambria Math" w:cs="Times New Roman"/>
          </w:rPr>
          <m:t>y</m:t>
        </m:r>
      </m:oMath>
      <w:r w:rsidRPr="000A32A3">
        <w:rPr>
          <w:rFonts w:eastAsiaTheme="minorEastAsia" w:cs="Times New Roman"/>
        </w:rPr>
        <w:t xml:space="preserve">. Considere </w:t>
      </w:r>
      <m:oMath>
        <m:r>
          <w:rPr>
            <w:rFonts w:ascii="Cambria Math" w:eastAsiaTheme="minorEastAsia" w:hAnsi="Cambria Math" w:cs="Times New Roman"/>
          </w:rPr>
          <m:t>m</m:t>
        </m:r>
      </m:oMath>
      <w:r w:rsidRPr="000A32A3">
        <w:rPr>
          <w:rFonts w:eastAsiaTheme="minorEastAsia" w:cs="Times New Roman"/>
        </w:rPr>
        <w:t xml:space="preserve"> variáveis aleatórias identicamente, independentemente distribuídas (iid)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oMath>
      <w:r w:rsidRPr="000A32A3">
        <w:rPr>
          <w:rFonts w:eastAsiaTheme="minorEastAsia" w:cs="Times New Roman"/>
        </w:rPr>
        <w:t xml:space="preserve">, </w:t>
      </w:r>
      <m:oMath>
        <m:r>
          <w:rPr>
            <w:rFonts w:ascii="Cambria Math" w:eastAsiaTheme="minorEastAsia" w:hAnsi="Cambria Math" w:cs="Times New Roman"/>
          </w:rPr>
          <m:t>i=1, …, m</m:t>
        </m:r>
      </m:oMath>
      <w:r w:rsidRPr="000A32A3">
        <w:rPr>
          <w:rFonts w:eastAsiaTheme="minorEastAsia" w:cs="Times New Roman"/>
        </w:rPr>
        <w:t xml:space="preserve"> , tirada da função de distribuição condicional N-variada </w:t>
      </w:r>
      <m:oMath>
        <m:sSub>
          <m:sSubPr>
            <m:ctrlPr>
              <w:rPr>
                <w:rFonts w:ascii="Cambria Math" w:eastAsia="Arial Narrow" w:hAnsi="Cambria Math" w:cs="Times New Roman"/>
                <w:i/>
              </w:rPr>
            </m:ctrlPr>
          </m:sSubPr>
          <m:e>
            <m:r>
              <w:rPr>
                <w:rFonts w:ascii="Cambria Math" w:eastAsia="Arial Narrow" w:hAnsi="Cambria Math" w:cs="Times New Roman"/>
              </w:rPr>
              <m:t>F</m:t>
            </m:r>
          </m:e>
          <m:sub>
            <m:r>
              <w:rPr>
                <w:rFonts w:ascii="Cambria Math" w:eastAsia="Arial Narrow" w:hAnsi="Cambria Math" w:cs="Times New Roman"/>
              </w:rPr>
              <m:t>X</m:t>
            </m:r>
          </m:sub>
        </m:sSub>
        <m:d>
          <m:dPr>
            <m:ctrlPr>
              <w:rPr>
                <w:rFonts w:ascii="Cambria Math" w:eastAsia="Arial Narrow" w:hAnsi="Cambria Math" w:cs="Times New Roman"/>
                <w:i/>
              </w:rPr>
            </m:ctrlPr>
          </m:dPr>
          <m:e>
            <m:r>
              <w:rPr>
                <w:rFonts w:ascii="Cambria Math" w:eastAsia="Arial Narrow" w:hAnsi="Cambria Math" w:cs="Times New Roman"/>
              </w:rPr>
              <m:t xml:space="preserve"> .</m:t>
            </m:r>
            <m:r>
              <m:rPr>
                <m:sty m:val="p"/>
              </m:rPr>
              <w:rPr>
                <w:rFonts w:ascii="Cambria Math" w:eastAsia="MTSYN" w:hAnsi="Cambria Math" w:cs="Times New Roman"/>
                <w:sz w:val="20"/>
                <w:szCs w:val="20"/>
              </w:rPr>
              <m:t xml:space="preserve">| </m:t>
            </m:r>
            <m:r>
              <w:rPr>
                <w:rFonts w:ascii="Cambria Math" w:eastAsia="Arial Narrow" w:hAnsi="Cambria Math" w:cs="Times New Roman"/>
              </w:rPr>
              <m:t>y</m:t>
            </m:r>
          </m:e>
        </m:d>
      </m:oMath>
      <w:r w:rsidRPr="000A32A3">
        <w:rPr>
          <w:rFonts w:eastAsiaTheme="minorEastAsia" w:cs="Times New Roman"/>
        </w:rPr>
        <w:t>e que define o conjunto:</w:t>
      </w:r>
    </w:p>
    <w:p w:rsidR="00CD16EF" w:rsidRPr="000A32A3" w:rsidRDefault="00244598" w:rsidP="00982B81">
      <w:pPr>
        <w:spacing w:after="120" w:line="240" w:lineRule="auto"/>
        <w:rPr>
          <w:rFonts w:eastAsiaTheme="minorEastAsia" w:cs="Times New Roman"/>
        </w:rPr>
      </w:pPr>
      <m:oMath>
        <m:sSub>
          <m:sSubPr>
            <m:ctrlPr>
              <w:rPr>
                <w:rFonts w:ascii="Cambria Math" w:eastAsia="Arial Narrow" w:hAnsi="Cambria Math" w:cs="Times New Roman"/>
              </w:rPr>
            </m:ctrlPr>
          </m:sSubPr>
          <m:e>
            <m:r>
              <m:rPr>
                <m:sty m:val="p"/>
              </m:rPr>
              <w:rPr>
                <w:rFonts w:ascii="Cambria Math" w:eastAsia="Arial Narrow" w:hAnsi="Cambria Math" w:cs="Times New Roman"/>
              </w:rPr>
              <m:t>Ψ</m:t>
            </m:r>
          </m:e>
          <m:sub>
            <m:r>
              <m:rPr>
                <m:sty m:val="p"/>
              </m:rP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y</m:t>
            </m:r>
          </m:e>
        </m:d>
        <m:r>
          <w:rPr>
            <w:rFonts w:ascii="Cambria Math" w:eastAsia="Arial Narrow" w:hAnsi="Cambria Math" w:cs="Times New Roman"/>
          </w:rPr>
          <m:t>=</m:t>
        </m:r>
        <m:d>
          <m:dPr>
            <m:begChr m:val="{"/>
            <m:endChr m:val="|"/>
            <m:ctrlPr>
              <w:rPr>
                <w:rFonts w:ascii="Cambria Math" w:eastAsia="Arial Narrow" w:hAnsi="Cambria Math" w:cs="Times New Roman"/>
                <w:i/>
              </w:rPr>
            </m:ctrlPr>
          </m:dPr>
          <m:e>
            <m:d>
              <m:dPr>
                <m:ctrlPr>
                  <w:rPr>
                    <w:rFonts w:ascii="Cambria Math" w:eastAsia="Arial Narrow" w:hAnsi="Cambria Math" w:cs="Times New Roman"/>
                    <w:i/>
                  </w:rPr>
                </m:ctrlPr>
              </m:dPr>
              <m:e>
                <m:sSup>
                  <m:sSupPr>
                    <m:ctrlPr>
                      <w:rPr>
                        <w:rFonts w:ascii="Cambria Math" w:eastAsia="Arial Narrow" w:hAnsi="Cambria Math" w:cs="Times New Roman"/>
                        <w:i/>
                      </w:rPr>
                    </m:ctrlPr>
                  </m:sSupPr>
                  <m:e>
                    <m:r>
                      <w:rPr>
                        <w:rFonts w:ascii="Cambria Math" w:eastAsia="Arial Narrow" w:hAnsi="Cambria Math" w:cs="Times New Roman"/>
                      </w:rPr>
                      <m:t>x</m:t>
                    </m:r>
                  </m:e>
                  <m:sup>
                    <m:r>
                      <w:rPr>
                        <w:rFonts w:ascii="Cambria Math" w:eastAsia="Arial Narrow" w:hAnsi="Cambria Math" w:cs="Times New Roman"/>
                      </w:rPr>
                      <m:t>'</m:t>
                    </m:r>
                  </m:sup>
                </m:sSup>
                <m:r>
                  <w:rPr>
                    <w:rFonts w:ascii="Cambria Math" w:eastAsia="Arial Narrow" w:hAnsi="Cambria Math" w:cs="Times New Roman"/>
                  </w:rPr>
                  <m:t>,</m:t>
                </m:r>
                <m:sSup>
                  <m:sSupPr>
                    <m:ctrlPr>
                      <w:rPr>
                        <w:rFonts w:ascii="Cambria Math" w:eastAsia="Arial Narrow" w:hAnsi="Cambria Math" w:cs="Times New Roman"/>
                        <w:i/>
                      </w:rPr>
                    </m:ctrlPr>
                  </m:sSupPr>
                  <m:e>
                    <m:r>
                      <w:rPr>
                        <w:rFonts w:ascii="Cambria Math" w:eastAsia="Arial Narrow" w:hAnsi="Cambria Math" w:cs="Times New Roman"/>
                      </w:rPr>
                      <m:t>y</m:t>
                    </m:r>
                  </m:e>
                  <m:sup>
                    <m:r>
                      <w:rPr>
                        <w:rFonts w:ascii="Cambria Math" w:eastAsia="Arial Narrow" w:hAnsi="Cambria Math" w:cs="Times New Roman"/>
                      </w:rPr>
                      <m:t>'</m:t>
                    </m:r>
                  </m:sup>
                </m:sSup>
              </m:e>
            </m:d>
            <m:r>
              <w:rPr>
                <w:rFonts w:ascii="Cambria Math" w:eastAsia="Arial Narrow" w:hAnsi="Cambria Math" w:cs="Times New Roman"/>
              </w:rPr>
              <m:t>∈</m:t>
            </m:r>
            <m:sSubSup>
              <m:sSubSupPr>
                <m:ctrlPr>
                  <w:rPr>
                    <w:rFonts w:ascii="Cambria Math" w:eastAsia="Arial Narrow" w:hAnsi="Cambria Math" w:cs="Times New Roman"/>
                    <w:i/>
                  </w:rPr>
                </m:ctrlPr>
              </m:sSubSupPr>
              <m:e>
                <m:r>
                  <w:rPr>
                    <w:rFonts w:ascii="Cambria Math" w:eastAsia="Arial Narrow" w:hAnsi="Cambria Math" w:cs="Times New Roman"/>
                  </w:rPr>
                  <m:t>R</m:t>
                </m:r>
              </m:e>
              <m:sub>
                <m:r>
                  <w:rPr>
                    <w:rFonts w:ascii="Cambria Math" w:eastAsia="Arial Narrow" w:hAnsi="Cambria Math" w:cs="Times New Roman"/>
                  </w:rPr>
                  <m:t>+</m:t>
                </m:r>
              </m:sub>
              <m:sup>
                <m:r>
                  <w:rPr>
                    <w:rFonts w:ascii="Cambria Math" w:eastAsia="Arial Narrow" w:hAnsi="Cambria Math" w:cs="Times New Roman"/>
                  </w:rPr>
                  <m:t>N+M</m:t>
                </m:r>
              </m:sup>
            </m:sSubSup>
            <m:ctrlPr>
              <w:rPr>
                <w:rFonts w:ascii="Cambria Math" w:eastAsia="MTSYN" w:hAnsi="Cambria Math" w:cs="Times New Roman"/>
                <w:sz w:val="20"/>
                <w:szCs w:val="20"/>
              </w:rPr>
            </m:ctrlPr>
          </m:e>
        </m:d>
        <m:r>
          <w:rPr>
            <w:rFonts w:ascii="Cambria Math" w:eastAsia="MTSYN" w:hAnsi="Cambria Math" w:cs="Times New Roman"/>
            <w:sz w:val="20"/>
            <w:szCs w:val="20"/>
          </w:rPr>
          <m:t xml:space="preserve"> </m:t>
        </m:r>
        <m:sSup>
          <m:sSupPr>
            <m:ctrlPr>
              <w:rPr>
                <w:rFonts w:ascii="Cambria Math" w:eastAsia="Arial Narrow" w:hAnsi="Cambria Math" w:cs="Times New Roman"/>
                <w:i/>
              </w:rPr>
            </m:ctrlPr>
          </m:sSupPr>
          <m:e>
            <m:r>
              <w:rPr>
                <w:rFonts w:ascii="Cambria Math" w:eastAsia="Arial Narrow" w:hAnsi="Cambria Math" w:cs="Times New Roman"/>
              </w:rPr>
              <m:t>x</m:t>
            </m:r>
          </m:e>
          <m:sup>
            <m:r>
              <w:rPr>
                <w:rFonts w:ascii="Cambria Math" w:eastAsia="Arial Narrow" w:hAnsi="Cambria Math" w:cs="Times New Roman"/>
              </w:rPr>
              <m:t>'</m:t>
            </m:r>
          </m:sup>
        </m:sSup>
        <m:r>
          <w:rPr>
            <w:rFonts w:ascii="Cambria Math" w:eastAsia="Arial Narrow" w:hAnsi="Cambria Math" w:cs="Times New Roman"/>
          </w:rPr>
          <m:t>≥</m:t>
        </m:r>
        <m:sSub>
          <m:sSubPr>
            <m:ctrlPr>
              <w:rPr>
                <w:rFonts w:ascii="Cambria Math" w:eastAsia="Arial Narrow" w:hAnsi="Cambria Math" w:cs="Times New Roman"/>
                <w:i/>
              </w:rPr>
            </m:ctrlPr>
          </m:sSubPr>
          <m:e>
            <m:r>
              <w:rPr>
                <w:rFonts w:ascii="Cambria Math" w:eastAsia="Arial Narrow" w:hAnsi="Cambria Math" w:cs="Times New Roman"/>
              </w:rPr>
              <m:t>X</m:t>
            </m:r>
          </m:e>
          <m:sub>
            <m:r>
              <w:rPr>
                <w:rFonts w:ascii="Cambria Math" w:eastAsia="Arial Narrow" w:hAnsi="Cambria Math" w:cs="Times New Roman"/>
              </w:rPr>
              <m:t>i</m:t>
            </m:r>
          </m:sub>
        </m:sSub>
        <m:r>
          <w:rPr>
            <w:rFonts w:ascii="Cambria Math" w:eastAsia="Arial Narrow" w:hAnsi="Cambria Math" w:cs="Times New Roman"/>
          </w:rPr>
          <m:t xml:space="preserve">, </m:t>
        </m:r>
        <m:sSup>
          <m:sSupPr>
            <m:ctrlPr>
              <w:rPr>
                <w:rFonts w:ascii="Cambria Math" w:eastAsia="Arial Narrow" w:hAnsi="Cambria Math" w:cs="Times New Roman"/>
                <w:i/>
              </w:rPr>
            </m:ctrlPr>
          </m:sSupPr>
          <m:e>
            <m:r>
              <w:rPr>
                <w:rFonts w:ascii="Cambria Math" w:eastAsia="Arial Narrow" w:hAnsi="Cambria Math" w:cs="Times New Roman"/>
              </w:rPr>
              <m:t>y</m:t>
            </m:r>
          </m:e>
          <m:sup>
            <m:r>
              <w:rPr>
                <w:rFonts w:ascii="Cambria Math" w:eastAsia="Arial Narrow" w:hAnsi="Cambria Math" w:cs="Times New Roman"/>
              </w:rPr>
              <m:t>'</m:t>
            </m:r>
          </m:sup>
        </m:sSup>
        <m:r>
          <w:rPr>
            <w:rFonts w:ascii="Cambria Math" w:eastAsia="Arial Narrow" w:hAnsi="Cambria Math" w:cs="Times New Roman"/>
          </w:rPr>
          <m:t>≥y , i=1, …m}</m:t>
        </m:r>
      </m:oMath>
      <w:r w:rsidR="00CD16EF" w:rsidRPr="000A32A3">
        <w:rPr>
          <w:rFonts w:eastAsiaTheme="minorEastAsia" w:cs="Times New Roman"/>
        </w:rPr>
        <w:t xml:space="preserve"> </w:t>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(3)</w:t>
      </w:r>
    </w:p>
    <w:p w:rsidR="00CD16EF" w:rsidRPr="000A32A3" w:rsidRDefault="00CD16EF" w:rsidP="00982B81">
      <w:pPr>
        <w:spacing w:after="120" w:line="240" w:lineRule="auto"/>
        <w:ind w:firstLine="708"/>
        <w:rPr>
          <w:rFonts w:eastAsiaTheme="minorEastAsia" w:cs="Times New Roman"/>
        </w:rPr>
      </w:pPr>
      <w:r w:rsidRPr="000A32A3">
        <w:rPr>
          <w:rFonts w:eastAsiaTheme="minorEastAsia" w:cs="Times New Roman"/>
        </w:rPr>
        <w:t xml:space="preserve">Este conjunto aleatório é o FDH de </w:t>
      </w:r>
      <m:oMath>
        <m:r>
          <w:rPr>
            <w:rFonts w:ascii="Cambria Math" w:eastAsiaTheme="minorEastAsia" w:hAnsi="Cambria Math" w:cs="Times New Roman"/>
          </w:rPr>
          <m:t>m</m:t>
        </m:r>
      </m:oMath>
      <w:r w:rsidRPr="000A32A3">
        <w:rPr>
          <w:rFonts w:eastAsiaTheme="minorEastAsia" w:cs="Times New Roman"/>
        </w:rPr>
        <w:t xml:space="preserve"> firmas que produzem pelo menos o nível </w:t>
      </w:r>
      <m:oMath>
        <m:r>
          <w:rPr>
            <w:rFonts w:ascii="Cambria Math" w:eastAsia="Arial Narrow" w:hAnsi="Cambria Math" w:cs="Times New Roman"/>
          </w:rPr>
          <m:t>y</m:t>
        </m:r>
      </m:oMath>
      <w:r w:rsidRPr="000A32A3">
        <w:rPr>
          <w:rFonts w:eastAsiaTheme="minorEastAsia" w:cs="Times New Roman"/>
        </w:rPr>
        <w:t xml:space="preserve"> de produtos. Então para qualquer </w:t>
      </w:r>
      <m:oMath>
        <m:r>
          <w:rPr>
            <w:rFonts w:ascii="Cambria Math" w:eastAsiaTheme="minorEastAsia" w:hAnsi="Cambria Math" w:cs="Times New Roman"/>
          </w:rPr>
          <m:t>x</m:t>
        </m:r>
      </m:oMath>
      <w:r w:rsidRPr="000A32A3">
        <w:rPr>
          <w:rFonts w:eastAsiaTheme="minorEastAsia" w:cs="Times New Roman"/>
        </w:rPr>
        <w:t xml:space="preserve">, dado </w:t>
      </w:r>
      <m:oMath>
        <m:r>
          <w:rPr>
            <w:rFonts w:ascii="Cambria Math" w:eastAsia="Arial Narrow" w:hAnsi="Cambria Math" w:cs="Times New Roman"/>
          </w:rPr>
          <m:t>y</m:t>
        </m:r>
      </m:oMath>
      <w:r w:rsidRPr="000A32A3">
        <w:rPr>
          <w:rFonts w:eastAsiaTheme="minorEastAsia" w:cs="Times New Roman"/>
        </w:rPr>
        <w:t xml:space="preserve">, o escore de eficiência de insumos relativo ao conjunto </w:t>
      </w:r>
      <m:oMath>
        <m:sSub>
          <m:sSubPr>
            <m:ctrlPr>
              <w:rPr>
                <w:rFonts w:ascii="Cambria Math" w:eastAsia="Arial Narrow" w:hAnsi="Cambria Math" w:cs="Times New Roman"/>
              </w:rPr>
            </m:ctrlPr>
          </m:sSubPr>
          <m:e>
            <m:r>
              <m:rPr>
                <m:sty m:val="p"/>
              </m:rPr>
              <w:rPr>
                <w:rFonts w:ascii="Cambria Math" w:eastAsia="Arial Narrow" w:hAnsi="Cambria Math" w:cs="Times New Roman"/>
              </w:rPr>
              <m:t>Ψ</m:t>
            </m:r>
          </m:e>
          <m:sub>
            <m:r>
              <m:rPr>
                <m:sty m:val="p"/>
              </m:rP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y</m:t>
            </m:r>
          </m:e>
        </m:d>
      </m:oMath>
      <w:r w:rsidRPr="000A32A3">
        <w:rPr>
          <w:rFonts w:eastAsiaTheme="minorEastAsia" w:cs="Times New Roman"/>
        </w:rPr>
        <w:t xml:space="preserve"> é:</w:t>
      </w:r>
    </w:p>
    <w:p w:rsidR="00CD16EF" w:rsidRPr="000A32A3" w:rsidRDefault="00244598" w:rsidP="00982B81">
      <w:pPr>
        <w:spacing w:after="120" w:line="240" w:lineRule="auto"/>
        <w:rPr>
          <w:rFonts w:eastAsiaTheme="minorEastAsia" w:cs="Times New Roman"/>
        </w:rPr>
      </w:pPr>
      <m:oMath>
        <m:sSub>
          <m:sSubPr>
            <m:ctrlPr>
              <w:rPr>
                <w:rFonts w:ascii="Cambria Math" w:eastAsia="Arial Narrow" w:hAnsi="Cambria Math" w:cs="Times New Roman"/>
                <w:i/>
              </w:rPr>
            </m:ctrlPr>
          </m:sSubPr>
          <m:e>
            <m:acc>
              <m:accPr>
                <m:chr m:val="̃"/>
                <m:ctrlPr>
                  <w:rPr>
                    <w:rFonts w:ascii="Cambria Math" w:eastAsia="Arial Narrow" w:hAnsi="Cambria Math" w:cs="Times New Roman"/>
                    <w:i/>
                  </w:rPr>
                </m:ctrlPr>
              </m:accPr>
              <m:e>
                <m:r>
                  <w:rPr>
                    <w:rFonts w:ascii="Cambria Math" w:eastAsia="Arial Narrow" w:hAnsi="Cambria Math" w:cs="Times New Roman"/>
                  </w:rPr>
                  <m:t>θ</m:t>
                </m:r>
              </m:e>
            </m:acc>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r>
          <w:rPr>
            <w:rFonts w:ascii="Cambria Math" w:eastAsia="Arial Narrow" w:hAnsi="Cambria Math" w:cs="Times New Roman"/>
          </w:rPr>
          <m:t>=</m:t>
        </m:r>
        <m:func>
          <m:funcPr>
            <m:ctrlPr>
              <w:rPr>
                <w:rFonts w:ascii="Cambria Math" w:eastAsia="Arial Narrow" w:hAnsi="Cambria Math" w:cs="Times New Roman"/>
                <w:i/>
              </w:rPr>
            </m:ctrlPr>
          </m:funcPr>
          <m:fName>
            <m:r>
              <m:rPr>
                <m:sty m:val="p"/>
              </m:rPr>
              <w:rPr>
                <w:rFonts w:ascii="Cambria Math" w:eastAsia="Arial Narrow" w:hAnsi="Cambria Math" w:cs="Times New Roman"/>
              </w:rPr>
              <m:t>inf</m:t>
            </m:r>
          </m:fName>
          <m:e>
            <m:r>
              <w:rPr>
                <w:rFonts w:ascii="Cambria Math" w:eastAsia="Arial Narrow" w:hAnsi="Cambria Math" w:cs="Times New Roman"/>
              </w:rPr>
              <m:t xml:space="preserve"> </m:t>
            </m:r>
            <m:d>
              <m:dPr>
                <m:begChr m:val="{"/>
                <m:endChr m:val="|"/>
                <m:ctrlPr>
                  <w:rPr>
                    <w:rFonts w:ascii="Cambria Math" w:eastAsia="Arial Narrow" w:hAnsi="Cambria Math" w:cs="Times New Roman"/>
                    <w:i/>
                  </w:rPr>
                </m:ctrlPr>
              </m:dPr>
              <m:e>
                <m:r>
                  <w:rPr>
                    <w:rFonts w:ascii="Cambria Math" w:eastAsia="Arial Narrow" w:hAnsi="Cambria Math" w:cs="Times New Roman"/>
                  </w:rPr>
                  <m:t xml:space="preserve">θ </m:t>
                </m:r>
                <m:ctrlPr>
                  <w:rPr>
                    <w:rFonts w:ascii="Cambria Math" w:eastAsia="MTSYN" w:hAnsi="Cambria Math" w:cs="Times New Roman"/>
                    <w:sz w:val="20"/>
                    <w:szCs w:val="20"/>
                  </w:rPr>
                </m:ctrlPr>
              </m:e>
            </m:d>
            <m:r>
              <w:rPr>
                <w:rFonts w:ascii="Cambria Math" w:eastAsia="Arial Narrow" w:hAnsi="Cambria Math" w:cs="Times New Roman"/>
              </w:rPr>
              <m:t xml:space="preserve"> </m:t>
            </m:r>
            <m:d>
              <m:dPr>
                <m:ctrlPr>
                  <w:rPr>
                    <w:rFonts w:ascii="Cambria Math" w:eastAsia="Arial Narrow" w:hAnsi="Cambria Math" w:cs="Times New Roman"/>
                    <w:i/>
                  </w:rPr>
                </m:ctrlPr>
              </m:dPr>
              <m:e>
                <m:r>
                  <w:rPr>
                    <w:rFonts w:ascii="Cambria Math" w:eastAsia="Arial Narrow" w:hAnsi="Cambria Math" w:cs="Times New Roman"/>
                  </w:rPr>
                  <m:t>θx,y</m:t>
                </m:r>
              </m:e>
            </m:d>
            <m:r>
              <w:rPr>
                <w:rFonts w:ascii="Cambria Math" w:eastAsia="Arial Narrow" w:hAnsi="Cambria Math" w:cs="Times New Roman"/>
              </w:rPr>
              <m:t xml:space="preserve"> ∈ </m:t>
            </m:r>
          </m:e>
        </m:func>
        <m:sSub>
          <m:sSubPr>
            <m:ctrlPr>
              <w:rPr>
                <w:rFonts w:ascii="Cambria Math" w:eastAsia="Arial Narrow" w:hAnsi="Cambria Math" w:cs="Times New Roman"/>
              </w:rPr>
            </m:ctrlPr>
          </m:sSubPr>
          <m:e>
            <m:r>
              <m:rPr>
                <m:sty m:val="p"/>
              </m:rPr>
              <w:rPr>
                <w:rFonts w:ascii="Cambria Math" w:eastAsia="Arial Narrow" w:hAnsi="Cambria Math" w:cs="Times New Roman"/>
              </w:rPr>
              <m:t>Ψ</m:t>
            </m:r>
          </m:e>
          <m:sub>
            <m:r>
              <m:rPr>
                <m:sty m:val="p"/>
              </m:rP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y</m:t>
            </m:r>
          </m:e>
        </m:d>
        <m:r>
          <w:rPr>
            <w:rFonts w:ascii="Cambria Math" w:eastAsia="Arial Narrow" w:hAnsi="Cambria Math" w:cs="Times New Roman"/>
          </w:rPr>
          <m:t>}</m:t>
        </m:r>
      </m:oMath>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(4)</w:t>
      </w:r>
    </w:p>
    <w:p w:rsidR="00CD16EF" w:rsidRPr="000A32A3" w:rsidRDefault="00CD16EF" w:rsidP="00982B81">
      <w:pPr>
        <w:spacing w:after="120" w:line="240" w:lineRule="auto"/>
        <w:ind w:firstLine="708"/>
        <w:rPr>
          <w:rFonts w:cs="Times New Roman"/>
        </w:rPr>
      </w:pPr>
      <w:r w:rsidRPr="000A32A3">
        <w:rPr>
          <w:rFonts w:eastAsiaTheme="minorEastAsia" w:cs="Times New Roman"/>
        </w:rPr>
        <w:t xml:space="preserve">O conjunto </w:t>
      </w:r>
      <m:oMath>
        <m:sSub>
          <m:sSubPr>
            <m:ctrlPr>
              <w:rPr>
                <w:rFonts w:ascii="Cambria Math" w:eastAsia="Arial Narrow" w:hAnsi="Cambria Math" w:cs="Times New Roman"/>
              </w:rPr>
            </m:ctrlPr>
          </m:sSubPr>
          <m:e>
            <m:r>
              <m:rPr>
                <m:sty m:val="p"/>
              </m:rPr>
              <w:rPr>
                <w:rFonts w:ascii="Cambria Math" w:eastAsia="Arial Narrow" w:hAnsi="Cambria Math" w:cs="Times New Roman"/>
              </w:rPr>
              <m:t>Ψ</m:t>
            </m:r>
          </m:e>
          <m:sub>
            <m:r>
              <m:rPr>
                <m:sty m:val="p"/>
              </m:rP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y</m:t>
            </m:r>
          </m:e>
        </m:d>
      </m:oMath>
      <w:r w:rsidRPr="000A32A3">
        <w:rPr>
          <w:rFonts w:eastAsiaTheme="minorEastAsia" w:cs="Times New Roman"/>
        </w:rPr>
        <w:t xml:space="preserve"> é aleatório, desde que dependa das variáveis aleatórias </w:t>
      </w:r>
      <m:oMath>
        <m:sSub>
          <m:sSubPr>
            <m:ctrlPr>
              <w:rPr>
                <w:rFonts w:ascii="Cambria Math" w:eastAsia="Arial Narrow" w:hAnsi="Cambria Math" w:cs="Times New Roman"/>
                <w:i/>
              </w:rPr>
            </m:ctrlPr>
          </m:sSubPr>
          <m:e>
            <m:r>
              <w:rPr>
                <w:rFonts w:ascii="Cambria Math" w:eastAsia="Arial Narrow" w:hAnsi="Cambria Math" w:cs="Times New Roman"/>
              </w:rPr>
              <m:t>X</m:t>
            </m:r>
          </m:e>
          <m:sub>
            <m:r>
              <w:rPr>
                <w:rFonts w:ascii="Cambria Math" w:eastAsia="Arial Narrow" w:hAnsi="Cambria Math" w:cs="Times New Roman"/>
              </w:rPr>
              <m:t>i</m:t>
            </m:r>
          </m:sub>
        </m:sSub>
      </m:oMath>
      <w:r w:rsidRPr="000A32A3">
        <w:rPr>
          <w:rFonts w:eastAsiaTheme="minorEastAsia" w:cs="Times New Roman"/>
        </w:rPr>
        <w:t xml:space="preserve"> com função de distribuição (condicional) </w:t>
      </w:r>
      <m:oMath>
        <m:sSub>
          <m:sSubPr>
            <m:ctrlPr>
              <w:rPr>
                <w:rFonts w:ascii="Cambria Math" w:eastAsia="Arial Narrow" w:hAnsi="Cambria Math" w:cs="Times New Roman"/>
                <w:i/>
              </w:rPr>
            </m:ctrlPr>
          </m:sSubPr>
          <m:e>
            <m:r>
              <w:rPr>
                <w:rFonts w:ascii="Cambria Math" w:eastAsia="Arial Narrow" w:hAnsi="Cambria Math" w:cs="Times New Roman"/>
              </w:rPr>
              <m:t>F</m:t>
            </m:r>
          </m:e>
          <m:sub>
            <m:r>
              <w:rPr>
                <w:rFonts w:ascii="Cambria Math" w:eastAsia="Arial Narrow" w:hAnsi="Cambria Math" w:cs="Times New Roman"/>
              </w:rPr>
              <m:t>X</m:t>
            </m:r>
          </m:sub>
        </m:sSub>
        <m:d>
          <m:dPr>
            <m:ctrlPr>
              <w:rPr>
                <w:rFonts w:ascii="Cambria Math" w:eastAsia="Arial Narrow" w:hAnsi="Cambria Math" w:cs="Times New Roman"/>
                <w:i/>
              </w:rPr>
            </m:ctrlPr>
          </m:dPr>
          <m:e>
            <m:r>
              <w:rPr>
                <w:rFonts w:ascii="Cambria Math" w:eastAsia="Arial Narrow" w:hAnsi="Cambria Math" w:cs="Times New Roman"/>
              </w:rPr>
              <m:t xml:space="preserve"> .</m:t>
            </m:r>
            <m:r>
              <m:rPr>
                <m:sty m:val="p"/>
              </m:rPr>
              <w:rPr>
                <w:rFonts w:ascii="Cambria Math" w:eastAsia="MTSYN" w:hAnsi="Cambria Math" w:cs="Times New Roman"/>
                <w:sz w:val="20"/>
                <w:szCs w:val="20"/>
              </w:rPr>
              <m:t xml:space="preserve">| </m:t>
            </m:r>
            <m:r>
              <w:rPr>
                <w:rFonts w:ascii="Cambria Math" w:eastAsia="Arial Narrow" w:hAnsi="Cambria Math" w:cs="Times New Roman"/>
              </w:rPr>
              <m:t>y</m:t>
            </m:r>
          </m:e>
        </m:d>
      </m:oMath>
      <w:r w:rsidRPr="000A32A3">
        <w:rPr>
          <w:rFonts w:eastAsiaTheme="minorEastAsia" w:cs="Times New Roman"/>
        </w:rPr>
        <w:t xml:space="preserve">. Portanto, o escore de eficiência </w:t>
      </w:r>
      <m:oMath>
        <m:sSub>
          <m:sSubPr>
            <m:ctrlPr>
              <w:rPr>
                <w:rFonts w:ascii="Cambria Math" w:eastAsia="Arial Narrow" w:hAnsi="Cambria Math" w:cs="Times New Roman"/>
                <w:i/>
              </w:rPr>
            </m:ctrlPr>
          </m:sSubPr>
          <m:e>
            <m:acc>
              <m:accPr>
                <m:chr m:val="̃"/>
                <m:ctrlPr>
                  <w:rPr>
                    <w:rFonts w:ascii="Cambria Math" w:eastAsia="Arial Narrow" w:hAnsi="Cambria Math" w:cs="Times New Roman"/>
                    <w:i/>
                  </w:rPr>
                </m:ctrlPr>
              </m:accPr>
              <m:e>
                <m:r>
                  <w:rPr>
                    <w:rFonts w:ascii="Cambria Math" w:eastAsia="Arial Narrow" w:hAnsi="Cambria Math" w:cs="Times New Roman"/>
                  </w:rPr>
                  <m:t>θ</m:t>
                </m:r>
              </m:e>
            </m:acc>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oMath>
      <w:r w:rsidRPr="000A32A3">
        <w:rPr>
          <w:rFonts w:eastAsiaTheme="minorEastAsia" w:cs="Times New Roman"/>
        </w:rPr>
        <w:t xml:space="preserve"> também é aleatório. Para uma dada realização de </w:t>
      </w:r>
      <m:oMath>
        <m:r>
          <w:rPr>
            <w:rFonts w:ascii="Cambria Math" w:eastAsiaTheme="minorEastAsia" w:hAnsi="Cambria Math" w:cs="Times New Roman"/>
          </w:rPr>
          <m:t>m</m:t>
        </m:r>
      </m:oMath>
      <w:r w:rsidRPr="000A32A3">
        <w:rPr>
          <w:rFonts w:eastAsiaTheme="minorEastAsia" w:cs="Times New Roman"/>
        </w:rPr>
        <w:t xml:space="preserve"> valores </w:t>
      </w:r>
      <m:oMath>
        <m:sSub>
          <m:sSubPr>
            <m:ctrlPr>
              <w:rPr>
                <w:rFonts w:ascii="Cambria Math" w:eastAsia="Arial Narrow" w:hAnsi="Cambria Math" w:cs="Times New Roman"/>
                <w:i/>
              </w:rPr>
            </m:ctrlPr>
          </m:sSubPr>
          <m:e>
            <m:r>
              <w:rPr>
                <w:rFonts w:ascii="Cambria Math" w:eastAsia="Arial Narrow" w:hAnsi="Cambria Math" w:cs="Times New Roman"/>
              </w:rPr>
              <m:t>X</m:t>
            </m:r>
          </m:e>
          <m:sub>
            <m:r>
              <w:rPr>
                <w:rFonts w:ascii="Cambria Math" w:eastAsia="Arial Narrow" w:hAnsi="Cambria Math" w:cs="Times New Roman"/>
              </w:rPr>
              <m:t>i</m:t>
            </m:r>
          </m:sub>
        </m:sSub>
      </m:oMath>
      <w:r w:rsidRPr="000A32A3">
        <w:rPr>
          <w:rFonts w:eastAsiaTheme="minorEastAsia" w:cs="Times New Roman"/>
        </w:rPr>
        <w:t xml:space="preserve">, uma realização de </w:t>
      </w:r>
      <m:oMath>
        <m:sSub>
          <m:sSubPr>
            <m:ctrlPr>
              <w:rPr>
                <w:rFonts w:ascii="Cambria Math" w:eastAsia="Arial Narrow" w:hAnsi="Cambria Math" w:cs="Times New Roman"/>
                <w:i/>
              </w:rPr>
            </m:ctrlPr>
          </m:sSubPr>
          <m:e>
            <m:acc>
              <m:accPr>
                <m:chr m:val="̃"/>
                <m:ctrlPr>
                  <w:rPr>
                    <w:rFonts w:ascii="Cambria Math" w:eastAsia="Arial Narrow" w:hAnsi="Cambria Math" w:cs="Times New Roman"/>
                    <w:i/>
                  </w:rPr>
                </m:ctrlPr>
              </m:accPr>
              <m:e>
                <m:r>
                  <w:rPr>
                    <w:rFonts w:ascii="Cambria Math" w:eastAsia="Arial Narrow" w:hAnsi="Cambria Math" w:cs="Times New Roman"/>
                  </w:rPr>
                  <m:t>θ</m:t>
                </m:r>
              </m:e>
            </m:acc>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oMath>
      <w:r w:rsidRPr="000A32A3">
        <w:rPr>
          <w:rFonts w:eastAsiaTheme="minorEastAsia" w:cs="Times New Roman"/>
        </w:rPr>
        <w:t xml:space="preserve"> é obtida computando:</w:t>
      </w:r>
    </w:p>
    <w:p w:rsidR="00CD16EF" w:rsidRPr="000A32A3" w:rsidRDefault="00244598" w:rsidP="00982B81">
      <w:pPr>
        <w:spacing w:after="120" w:line="240" w:lineRule="auto"/>
        <w:rPr>
          <w:rFonts w:eastAsiaTheme="minorEastAsia" w:cs="Times New Roman"/>
        </w:rPr>
      </w:pPr>
      <m:oMath>
        <m:sSub>
          <m:sSubPr>
            <m:ctrlPr>
              <w:rPr>
                <w:rFonts w:ascii="Cambria Math" w:eastAsia="Arial Narrow" w:hAnsi="Cambria Math" w:cs="Times New Roman"/>
                <w:i/>
              </w:rPr>
            </m:ctrlPr>
          </m:sSubPr>
          <m:e>
            <m:acc>
              <m:accPr>
                <m:chr m:val="̃"/>
                <m:ctrlPr>
                  <w:rPr>
                    <w:rFonts w:ascii="Cambria Math" w:eastAsia="Arial Narrow" w:hAnsi="Cambria Math" w:cs="Times New Roman"/>
                    <w:i/>
                  </w:rPr>
                </m:ctrlPr>
              </m:accPr>
              <m:e>
                <m:r>
                  <w:rPr>
                    <w:rFonts w:ascii="Cambria Math" w:eastAsia="Arial Narrow" w:hAnsi="Cambria Math" w:cs="Times New Roman"/>
                  </w:rPr>
                  <m:t>θ</m:t>
                </m:r>
              </m:e>
            </m:acc>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r>
          <w:rPr>
            <w:rFonts w:ascii="Cambria Math" w:eastAsia="Arial Narrow" w:hAnsi="Cambria Math" w:cs="Times New Roman"/>
          </w:rPr>
          <m:t>=</m:t>
        </m:r>
        <m:limLow>
          <m:limLowPr>
            <m:ctrlPr>
              <w:rPr>
                <w:rFonts w:ascii="Cambria Math" w:eastAsia="Arial Narrow" w:hAnsi="Cambria Math" w:cs="Times New Roman"/>
                <w:i/>
              </w:rPr>
            </m:ctrlPr>
          </m:limLowPr>
          <m:e>
            <m:r>
              <m:rPr>
                <m:sty m:val="p"/>
              </m:rPr>
              <w:rPr>
                <w:rFonts w:ascii="Cambria Math" w:eastAsia="Arial Narrow" w:hAnsi="Cambria Math" w:cs="Times New Roman"/>
              </w:rPr>
              <m:t>min</m:t>
            </m:r>
          </m:e>
          <m:lim>
            <m:r>
              <w:rPr>
                <w:rFonts w:ascii="Cambria Math" w:eastAsia="Arial Narrow" w:hAnsi="Cambria Math" w:cs="Times New Roman"/>
              </w:rPr>
              <m:t>i=1,…,m</m:t>
            </m:r>
          </m:lim>
        </m:limLow>
        <m:r>
          <w:rPr>
            <w:rFonts w:ascii="Cambria Math" w:eastAsia="Arial Narrow" w:hAnsi="Cambria Math" w:cs="Times New Roman"/>
          </w:rPr>
          <m:t>{</m:t>
        </m:r>
        <m:func>
          <m:funcPr>
            <m:ctrlPr>
              <w:rPr>
                <w:rFonts w:ascii="Cambria Math" w:eastAsia="Arial Narrow" w:hAnsi="Cambria Math" w:cs="Times New Roman"/>
                <w:i/>
              </w:rPr>
            </m:ctrlPr>
          </m:funcPr>
          <m:fName>
            <m:r>
              <w:rPr>
                <w:rFonts w:ascii="Cambria Math" w:eastAsia="Arial Narrow" w:hAnsi="Cambria Math" w:cs="Times New Roman"/>
              </w:rPr>
              <m:t xml:space="preserve"> </m:t>
            </m:r>
            <m:limLow>
              <m:limLowPr>
                <m:ctrlPr>
                  <w:rPr>
                    <w:rFonts w:ascii="Cambria Math" w:eastAsia="Arial Narrow" w:hAnsi="Cambria Math" w:cs="Times New Roman"/>
                    <w:i/>
                  </w:rPr>
                </m:ctrlPr>
              </m:limLowPr>
              <m:e>
                <m:r>
                  <m:rPr>
                    <m:sty m:val="p"/>
                  </m:rPr>
                  <w:rPr>
                    <w:rFonts w:ascii="Cambria Math" w:eastAsia="Arial Narrow" w:hAnsi="Cambria Math" w:cs="Times New Roman"/>
                  </w:rPr>
                  <m:t>max</m:t>
                </m:r>
              </m:e>
              <m:lim>
                <m:r>
                  <w:rPr>
                    <w:rFonts w:ascii="Cambria Math" w:eastAsia="Arial Narrow" w:hAnsi="Cambria Math" w:cs="Times New Roman"/>
                  </w:rPr>
                  <m:t>j=1,…,p</m:t>
                </m:r>
              </m:lim>
            </m:limLow>
            <m:d>
              <m:dPr>
                <m:ctrlPr>
                  <w:rPr>
                    <w:rFonts w:ascii="Cambria Math" w:eastAsia="Arial Narrow" w:hAnsi="Cambria Math" w:cs="Times New Roman"/>
                    <w:i/>
                  </w:rPr>
                </m:ctrlPr>
              </m:dPr>
              <m:e>
                <m:f>
                  <m:fPr>
                    <m:ctrlPr>
                      <w:rPr>
                        <w:rFonts w:ascii="Cambria Math" w:eastAsia="Arial Narrow" w:hAnsi="Cambria Math" w:cs="Times New Roman"/>
                        <w:i/>
                      </w:rPr>
                    </m:ctrlPr>
                  </m:fPr>
                  <m:num>
                    <m:sSubSup>
                      <m:sSubSupPr>
                        <m:ctrlPr>
                          <w:rPr>
                            <w:rFonts w:ascii="Cambria Math" w:eastAsia="Arial Narrow" w:hAnsi="Cambria Math" w:cs="Times New Roman"/>
                            <w:i/>
                          </w:rPr>
                        </m:ctrlPr>
                      </m:sSubSupPr>
                      <m:e>
                        <m:r>
                          <w:rPr>
                            <w:rFonts w:ascii="Cambria Math" w:eastAsia="Arial Narrow" w:hAnsi="Cambria Math" w:cs="Times New Roman"/>
                          </w:rPr>
                          <m:t>X</m:t>
                        </m:r>
                      </m:e>
                      <m:sub>
                        <m:r>
                          <w:rPr>
                            <w:rFonts w:ascii="Cambria Math" w:eastAsia="Arial Narrow" w:hAnsi="Cambria Math" w:cs="Times New Roman"/>
                          </w:rPr>
                          <m:t>i</m:t>
                        </m:r>
                      </m:sub>
                      <m:sup>
                        <m:r>
                          <w:rPr>
                            <w:rFonts w:ascii="Cambria Math" w:eastAsia="Arial Narrow" w:hAnsi="Cambria Math" w:cs="Times New Roman"/>
                          </w:rPr>
                          <m:t>j</m:t>
                        </m:r>
                      </m:sup>
                    </m:sSubSup>
                  </m:num>
                  <m:den>
                    <m:sSup>
                      <m:sSupPr>
                        <m:ctrlPr>
                          <w:rPr>
                            <w:rFonts w:ascii="Cambria Math" w:eastAsia="Arial Narrow" w:hAnsi="Cambria Math" w:cs="Times New Roman"/>
                            <w:i/>
                          </w:rPr>
                        </m:ctrlPr>
                      </m:sSupPr>
                      <m:e>
                        <m:r>
                          <w:rPr>
                            <w:rFonts w:ascii="Cambria Math" w:eastAsia="Arial Narrow" w:hAnsi="Cambria Math" w:cs="Times New Roman"/>
                          </w:rPr>
                          <m:t>x</m:t>
                        </m:r>
                      </m:e>
                      <m:sup>
                        <m:r>
                          <w:rPr>
                            <w:rFonts w:ascii="Cambria Math" w:eastAsia="Arial Narrow" w:hAnsi="Cambria Math" w:cs="Times New Roman"/>
                          </w:rPr>
                          <m:t>j</m:t>
                        </m:r>
                      </m:sup>
                    </m:sSup>
                  </m:den>
                </m:f>
              </m:e>
            </m:d>
          </m:fName>
          <m:e>
            <m:r>
              <w:rPr>
                <w:rFonts w:ascii="Cambria Math" w:eastAsia="Arial Narrow" w:hAnsi="Cambria Math" w:cs="Times New Roman"/>
              </w:rPr>
              <m:t xml:space="preserve"> }</m:t>
            </m:r>
          </m:e>
        </m:func>
        <m:r>
          <w:rPr>
            <w:rFonts w:ascii="Cambria Math" w:eastAsia="Arial Narrow" w:hAnsi="Cambria Math" w:cs="Times New Roman"/>
          </w:rPr>
          <m:t xml:space="preserve"> </m:t>
        </m:r>
      </m:oMath>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 xml:space="preserve">             </w:t>
      </w:r>
      <w:r w:rsidR="00CD16EF" w:rsidRPr="000A32A3">
        <w:rPr>
          <w:rFonts w:eastAsiaTheme="minorEastAsia" w:cs="Times New Roman"/>
        </w:rPr>
        <w:tab/>
        <w:t>(5)</w:t>
      </w:r>
    </w:p>
    <w:p w:rsidR="00CD16EF" w:rsidRPr="000A32A3" w:rsidRDefault="00CD16EF" w:rsidP="00982B81">
      <w:pPr>
        <w:spacing w:after="120" w:line="240" w:lineRule="auto"/>
        <w:ind w:firstLine="708"/>
        <w:rPr>
          <w:rFonts w:cs="Times New Roman"/>
        </w:rPr>
      </w:pPr>
      <w:r w:rsidRPr="000A32A3">
        <w:rPr>
          <w:rFonts w:eastAsiaTheme="minorEastAsia" w:cs="Times New Roman"/>
        </w:rPr>
        <w:t xml:space="preserve">O escore de eficiência de ordem-m é definido a seguir. Para todo </w:t>
      </w:r>
      <m:oMath>
        <m:r>
          <w:rPr>
            <w:rFonts w:ascii="Cambria Math" w:eastAsia="Arial Narrow" w:hAnsi="Cambria Math" w:cs="Times New Roman"/>
          </w:rPr>
          <m:t>y</m:t>
        </m:r>
      </m:oMath>
      <w:r w:rsidRPr="000A32A3">
        <w:rPr>
          <w:rFonts w:eastAsiaTheme="minorEastAsia" w:cs="Times New Roman"/>
        </w:rPr>
        <w:t xml:space="preserve"> tal que </w:t>
      </w:r>
      <m:oMath>
        <m:sSub>
          <m:sSubPr>
            <m:ctrlPr>
              <w:rPr>
                <w:rFonts w:ascii="Cambria Math" w:eastAsia="Arial Narrow" w:hAnsi="Cambria Math" w:cs="Times New Roman"/>
                <w:i/>
              </w:rPr>
            </m:ctrlPr>
          </m:sSubPr>
          <m:e>
            <m:r>
              <w:rPr>
                <w:rFonts w:ascii="Cambria Math" w:eastAsia="Arial Narrow" w:hAnsi="Cambria Math" w:cs="Times New Roman"/>
              </w:rPr>
              <m:t>S</m:t>
            </m:r>
          </m:e>
          <m:sub>
            <m:r>
              <w:rPr>
                <w:rFonts w:ascii="Cambria Math" w:eastAsia="Arial Narrow" w:hAnsi="Cambria Math" w:cs="Times New Roman"/>
              </w:rPr>
              <m:t>Y</m:t>
            </m:r>
          </m:sub>
        </m:sSub>
        <m:d>
          <m:dPr>
            <m:ctrlPr>
              <w:rPr>
                <w:rFonts w:ascii="Cambria Math" w:eastAsia="Arial Narrow" w:hAnsi="Cambria Math" w:cs="Times New Roman"/>
                <w:i/>
              </w:rPr>
            </m:ctrlPr>
          </m:dPr>
          <m:e>
            <m:r>
              <w:rPr>
                <w:rFonts w:ascii="Cambria Math" w:eastAsia="Arial Narrow" w:hAnsi="Cambria Math" w:cs="Times New Roman"/>
              </w:rPr>
              <m:t>y</m:t>
            </m:r>
          </m:e>
        </m:d>
        <m:r>
          <w:rPr>
            <w:rFonts w:ascii="Cambria Math" w:eastAsia="Arial Narrow" w:hAnsi="Cambria Math" w:cs="Times New Roman"/>
          </w:rPr>
          <m:t xml:space="preserve">=prob </m:t>
        </m:r>
        <m:d>
          <m:dPr>
            <m:ctrlPr>
              <w:rPr>
                <w:rFonts w:ascii="Cambria Math" w:eastAsia="Arial Narrow" w:hAnsi="Cambria Math" w:cs="Times New Roman"/>
                <w:i/>
              </w:rPr>
            </m:ctrlPr>
          </m:dPr>
          <m:e>
            <m:r>
              <w:rPr>
                <w:rFonts w:ascii="Cambria Math" w:eastAsia="Arial Narrow" w:hAnsi="Cambria Math" w:cs="Times New Roman"/>
              </w:rPr>
              <m:t>Y≥y</m:t>
            </m:r>
          </m:e>
        </m:d>
        <m:r>
          <w:rPr>
            <w:rFonts w:ascii="Cambria Math" w:eastAsia="Arial Narrow" w:hAnsi="Cambria Math" w:cs="Times New Roman"/>
          </w:rPr>
          <m:t>&gt;0</m:t>
        </m:r>
      </m:oMath>
      <w:r w:rsidRPr="000A32A3">
        <w:rPr>
          <w:rFonts w:eastAsiaTheme="minorEastAsia" w:cs="Times New Roman"/>
        </w:rPr>
        <w:t>, o escore de eficiência de ordem-m é dado por:</w:t>
      </w:r>
    </w:p>
    <w:p w:rsidR="00CD16EF" w:rsidRPr="000A32A3" w:rsidRDefault="00244598" w:rsidP="00982B81">
      <w:pPr>
        <w:spacing w:after="120" w:line="240" w:lineRule="auto"/>
        <w:rPr>
          <w:rFonts w:eastAsiaTheme="minorEastAsia" w:cs="Times New Roman"/>
        </w:rPr>
      </w:pPr>
      <m:oMath>
        <m:sSub>
          <m:sSubPr>
            <m:ctrlPr>
              <w:rPr>
                <w:rFonts w:ascii="Cambria Math" w:eastAsia="Arial Narrow" w:hAnsi="Cambria Math" w:cs="Times New Roman"/>
                <w:i/>
              </w:rPr>
            </m:ctrlPr>
          </m:sSubPr>
          <m:e>
            <m:r>
              <w:rPr>
                <w:rFonts w:ascii="Cambria Math" w:eastAsia="Arial Narrow" w:hAnsi="Cambria Math" w:cs="Times New Roman"/>
              </w:rPr>
              <m:t>θ</m:t>
            </m:r>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r>
          <w:rPr>
            <w:rFonts w:ascii="Cambria Math" w:eastAsia="Arial Narrow" w:hAnsi="Cambria Math" w:cs="Times New Roman"/>
          </w:rPr>
          <m:t>=E</m:t>
        </m:r>
        <m:d>
          <m:dPr>
            <m:endChr m:val="|"/>
            <m:ctrlPr>
              <w:rPr>
                <w:rFonts w:ascii="Cambria Math" w:eastAsia="Arial Narrow" w:hAnsi="Cambria Math" w:cs="Times New Roman"/>
                <w:i/>
              </w:rPr>
            </m:ctrlPr>
          </m:dPr>
          <m:e>
            <m:sSub>
              <m:sSubPr>
                <m:ctrlPr>
                  <w:rPr>
                    <w:rFonts w:ascii="Cambria Math" w:eastAsia="Arial Narrow" w:hAnsi="Cambria Math" w:cs="Times New Roman"/>
                    <w:i/>
                  </w:rPr>
                </m:ctrlPr>
              </m:sSubPr>
              <m:e>
                <m:acc>
                  <m:accPr>
                    <m:chr m:val="̃"/>
                    <m:ctrlPr>
                      <w:rPr>
                        <w:rFonts w:ascii="Cambria Math" w:eastAsia="Arial Narrow" w:hAnsi="Cambria Math" w:cs="Times New Roman"/>
                        <w:i/>
                      </w:rPr>
                    </m:ctrlPr>
                  </m:accPr>
                  <m:e>
                    <m:r>
                      <w:rPr>
                        <w:rFonts w:ascii="Cambria Math" w:eastAsia="Arial Narrow" w:hAnsi="Cambria Math" w:cs="Times New Roman"/>
                      </w:rPr>
                      <m:t>θ</m:t>
                    </m:r>
                  </m:e>
                </m:acc>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x,y</m:t>
                </m:r>
              </m:e>
            </m:d>
            <m:ctrlPr>
              <w:rPr>
                <w:rFonts w:ascii="Cambria Math" w:eastAsia="MTSYN" w:hAnsi="Cambria Math" w:cs="Times New Roman"/>
                <w:sz w:val="20"/>
                <w:szCs w:val="20"/>
              </w:rPr>
            </m:ctrlPr>
          </m:e>
        </m:d>
        <m:r>
          <w:rPr>
            <w:rFonts w:ascii="Cambria Math" w:eastAsia="Arial Narrow" w:hAnsi="Cambria Math" w:cs="Times New Roman"/>
          </w:rPr>
          <m:t>Y≥y)</m:t>
        </m:r>
      </m:oMath>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(6)</w:t>
      </w:r>
    </w:p>
    <w:p w:rsidR="00CD16EF" w:rsidRPr="000A32A3" w:rsidRDefault="00CD16EF" w:rsidP="00982B81">
      <w:pPr>
        <w:spacing w:after="120" w:line="240" w:lineRule="auto"/>
        <w:ind w:firstLine="708"/>
        <w:rPr>
          <w:rFonts w:eastAsiaTheme="minorEastAsia" w:cs="Times New Roman"/>
        </w:rPr>
      </w:pPr>
      <w:r w:rsidRPr="000A32A3">
        <w:rPr>
          <w:rFonts w:cs="Times New Roman"/>
        </w:rPr>
        <w:lastRenderedPageBreak/>
        <w:t xml:space="preserve">O escore de eficiência de ordem-m é referência para a unidade operando a </w:t>
      </w:r>
      <m:oMath>
        <m:r>
          <w:rPr>
            <w:rFonts w:ascii="Cambria Math" w:hAnsi="Cambria Math" w:cs="Times New Roman"/>
          </w:rPr>
          <m:t xml:space="preserve">(x, </m:t>
        </m:r>
        <m:r>
          <w:rPr>
            <w:rFonts w:ascii="Cambria Math" w:eastAsia="Arial Narrow" w:hAnsi="Cambria Math" w:cs="Times New Roman"/>
          </w:rPr>
          <m:t>y</m:t>
        </m:r>
      </m:oMath>
      <w:r w:rsidRPr="000A32A3">
        <w:rPr>
          <w:rFonts w:eastAsiaTheme="minorEastAsia" w:cs="Times New Roman"/>
        </w:rPr>
        <w:t xml:space="preserve">) contra o mínimo esperado de insumo entre </w:t>
      </w:r>
      <m:oMath>
        <m:r>
          <w:rPr>
            <w:rFonts w:ascii="Cambria Math" w:eastAsiaTheme="minorEastAsia" w:hAnsi="Cambria Math" w:cs="Times New Roman"/>
          </w:rPr>
          <m:t>m</m:t>
        </m:r>
      </m:oMath>
      <w:r w:rsidRPr="000A32A3">
        <w:rPr>
          <w:rFonts w:eastAsiaTheme="minorEastAsia" w:cs="Times New Roman"/>
        </w:rPr>
        <w:t xml:space="preserve"> pares aleatoriamente escolhidos da população de unidades produzindo pelo menos </w:t>
      </w:r>
      <m:oMath>
        <m:r>
          <w:rPr>
            <w:rFonts w:ascii="Cambria Math" w:eastAsia="Arial Narrow" w:hAnsi="Cambria Math" w:cs="Times New Roman"/>
          </w:rPr>
          <m:t>y</m:t>
        </m:r>
      </m:oMath>
      <w:r w:rsidRPr="000A32A3">
        <w:rPr>
          <w:rFonts w:eastAsiaTheme="minorEastAsia" w:cs="Times New Roman"/>
        </w:rPr>
        <w:t xml:space="preserve">. Esta medida define a fronteira de eficiência de insumo de ordem-m. Para qualquer </w:t>
      </w:r>
      <m:oMath>
        <m:d>
          <m:dPr>
            <m:ctrlPr>
              <w:rPr>
                <w:rFonts w:ascii="Cambria Math" w:eastAsiaTheme="minorEastAsia" w:hAnsi="Cambria Math" w:cs="Times New Roman"/>
                <w:i/>
              </w:rPr>
            </m:ctrlPr>
          </m:dPr>
          <m:e>
            <m:r>
              <w:rPr>
                <w:rFonts w:ascii="Cambria Math" w:eastAsiaTheme="minorEastAsia" w:hAnsi="Cambria Math" w:cs="Times New Roman"/>
              </w:rPr>
              <m:t>x, y</m:t>
            </m:r>
          </m:e>
        </m:d>
        <m:r>
          <w:rPr>
            <w:rFonts w:ascii="Cambria Math" w:eastAsia="Arial Narrow" w:hAnsi="Cambria Math" w:cs="Times New Roman"/>
          </w:rPr>
          <m:t>∈</m:t>
        </m:r>
        <m:r>
          <m:rPr>
            <m:sty m:val="p"/>
          </m:rPr>
          <w:rPr>
            <w:rFonts w:ascii="Cambria Math" w:eastAsia="Arial Narrow" w:hAnsi="Cambria Math" w:cs="Times New Roman"/>
          </w:rPr>
          <m:t>Ψ</m:t>
        </m:r>
      </m:oMath>
      <w:r w:rsidRPr="000A32A3">
        <w:rPr>
          <w:rFonts w:eastAsiaTheme="minorEastAsia" w:cs="Times New Roman"/>
        </w:rPr>
        <w:t xml:space="preserve">, o nível mínimo de insumos de ordem-m para uma unidade de produção de nível </w:t>
      </w:r>
      <m:oMath>
        <m:r>
          <w:rPr>
            <w:rFonts w:ascii="Cambria Math" w:eastAsiaTheme="minorEastAsia" w:hAnsi="Cambria Math" w:cs="Times New Roman"/>
          </w:rPr>
          <m:t>y</m:t>
        </m:r>
      </m:oMath>
      <w:r w:rsidRPr="000A32A3">
        <w:rPr>
          <w:rFonts w:eastAsiaTheme="minorEastAsia" w:cs="Times New Roman"/>
        </w:rPr>
        <w:t xml:space="preserve"> é dado por:</w:t>
      </w:r>
    </w:p>
    <w:p w:rsidR="00CD16EF" w:rsidRPr="000A32A3" w:rsidRDefault="00244598" w:rsidP="00982B81">
      <w:pPr>
        <w:spacing w:after="120" w:line="240" w:lineRule="auto"/>
        <w:rPr>
          <w:rFonts w:cs="Times New Roman"/>
        </w:rPr>
      </w:pPr>
      <m:oMath>
        <m:sSubSup>
          <m:sSubSupPr>
            <m:ctrlPr>
              <w:rPr>
                <w:rFonts w:ascii="Cambria Math" w:eastAsia="Arial Narrow" w:hAnsi="Cambria Math" w:cs="Times New Roman"/>
                <w:i/>
              </w:rPr>
            </m:ctrlPr>
          </m:sSubSupPr>
          <m:e>
            <m:r>
              <w:rPr>
                <w:rFonts w:ascii="Cambria Math" w:eastAsia="Arial Narrow" w:hAnsi="Cambria Math" w:cs="Times New Roman"/>
              </w:rPr>
              <m:t>x</m:t>
            </m:r>
          </m:e>
          <m:sub>
            <m:r>
              <w:rPr>
                <w:rFonts w:ascii="Cambria Math" w:eastAsia="Arial Narrow" w:hAnsi="Cambria Math" w:cs="Times New Roman"/>
              </w:rPr>
              <m:t>m</m:t>
            </m:r>
          </m:sub>
          <m:sup>
            <m:r>
              <w:rPr>
                <w:rFonts w:ascii="Cambria Math" w:eastAsia="Arial Narrow" w:hAnsi="Cambria Math" w:cs="Times New Roman"/>
              </w:rPr>
              <m:t>∂</m:t>
            </m:r>
          </m:sup>
        </m:sSubSup>
        <m:d>
          <m:dPr>
            <m:ctrlPr>
              <w:rPr>
                <w:rFonts w:ascii="Cambria Math" w:eastAsia="Arial Narrow" w:hAnsi="Cambria Math" w:cs="Times New Roman"/>
                <w:i/>
              </w:rPr>
            </m:ctrlPr>
          </m:dPr>
          <m:e>
            <m:r>
              <w:rPr>
                <w:rFonts w:ascii="Cambria Math" w:eastAsia="Arial Narrow" w:hAnsi="Cambria Math" w:cs="Times New Roman"/>
              </w:rPr>
              <m:t>y</m:t>
            </m:r>
          </m:e>
        </m:d>
        <m:r>
          <w:rPr>
            <w:rFonts w:ascii="Cambria Math" w:eastAsia="Arial Narrow" w:hAnsi="Cambria Math" w:cs="Times New Roman"/>
          </w:rPr>
          <m:t>=</m:t>
        </m:r>
        <m:sSub>
          <m:sSubPr>
            <m:ctrlPr>
              <w:rPr>
                <w:rFonts w:ascii="Cambria Math" w:eastAsia="Arial Narrow" w:hAnsi="Cambria Math" w:cs="Times New Roman"/>
                <w:i/>
              </w:rPr>
            </m:ctrlPr>
          </m:sSubPr>
          <m:e>
            <m:r>
              <w:rPr>
                <w:rFonts w:ascii="Cambria Math" w:eastAsia="Arial Narrow" w:hAnsi="Cambria Math" w:cs="Times New Roman"/>
              </w:rPr>
              <m:t>θ</m:t>
            </m:r>
          </m:e>
          <m:sub>
            <m:r>
              <w:rPr>
                <w:rFonts w:ascii="Cambria Math" w:eastAsia="Arial Narrow" w:hAnsi="Cambria Math" w:cs="Times New Roman"/>
              </w:rPr>
              <m:t>m</m:t>
            </m:r>
          </m:sub>
        </m:sSub>
        <m:r>
          <w:rPr>
            <w:rFonts w:ascii="Cambria Math" w:eastAsia="Arial Narrow" w:hAnsi="Cambria Math" w:cs="Times New Roman"/>
          </w:rPr>
          <m:t>(x,y)x</m:t>
        </m:r>
      </m:oMath>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(7)</w:t>
      </w:r>
    </w:p>
    <w:p w:rsidR="00CD16EF" w:rsidRPr="000A32A3" w:rsidRDefault="00CD16EF" w:rsidP="00982B81">
      <w:pPr>
        <w:spacing w:after="120" w:line="240" w:lineRule="auto"/>
        <w:ind w:firstLine="708"/>
        <w:rPr>
          <w:rFonts w:cs="Times New Roman"/>
        </w:rPr>
      </w:pPr>
      <w:r w:rsidRPr="000A32A3">
        <w:rPr>
          <w:rFonts w:cs="Times New Roman"/>
        </w:rPr>
        <w:t xml:space="preserve">Se </w:t>
      </w:r>
      <m:oMath>
        <m:r>
          <w:rPr>
            <w:rFonts w:ascii="Cambria Math" w:hAnsi="Cambria Math" w:cs="Times New Roman"/>
          </w:rPr>
          <m:t>x</m:t>
        </m:r>
      </m:oMath>
      <w:r w:rsidRPr="000A32A3">
        <w:rPr>
          <w:rFonts w:eastAsiaTheme="minorEastAsia" w:cs="Times New Roman"/>
        </w:rPr>
        <w:t xml:space="preserve"> é univariado, a fronteira de insumos de ordem-m pode ser descrita por qualquer função de insumos de ordem-m:</w:t>
      </w:r>
    </w:p>
    <w:p w:rsidR="00CD16EF" w:rsidRPr="000A32A3" w:rsidRDefault="00244598" w:rsidP="00982B81">
      <w:pPr>
        <w:spacing w:after="120" w:line="240" w:lineRule="auto"/>
        <w:rPr>
          <w:rFonts w:eastAsiaTheme="minorEastAsia" w:cs="Times New Roman"/>
        </w:rPr>
      </w:pPr>
      <m:oMath>
        <m:sSubSup>
          <m:sSubSupPr>
            <m:ctrlPr>
              <w:rPr>
                <w:rFonts w:ascii="Cambria Math" w:eastAsia="Arial Narrow" w:hAnsi="Cambria Math" w:cs="Times New Roman"/>
                <w:i/>
              </w:rPr>
            </m:ctrlPr>
          </m:sSubSupPr>
          <m:e>
            <m:r>
              <w:rPr>
                <w:rFonts w:ascii="Cambria Math" w:eastAsia="Arial Narrow" w:hAnsi="Cambria Math" w:cs="Times New Roman"/>
              </w:rPr>
              <m:t>x</m:t>
            </m:r>
          </m:e>
          <m:sub>
            <m:r>
              <w:rPr>
                <w:rFonts w:ascii="Cambria Math" w:eastAsia="Arial Narrow" w:hAnsi="Cambria Math" w:cs="Times New Roman"/>
              </w:rPr>
              <m:t>m</m:t>
            </m:r>
          </m:sub>
          <m:sup>
            <m:r>
              <w:rPr>
                <w:rFonts w:ascii="Cambria Math" w:eastAsia="Arial Narrow" w:hAnsi="Cambria Math" w:cs="Times New Roman"/>
              </w:rPr>
              <m:t>∂</m:t>
            </m:r>
          </m:sup>
        </m:sSubSup>
        <m:d>
          <m:dPr>
            <m:ctrlPr>
              <w:rPr>
                <w:rFonts w:ascii="Cambria Math" w:eastAsia="Arial Narrow" w:hAnsi="Cambria Math" w:cs="Times New Roman"/>
                <w:i/>
              </w:rPr>
            </m:ctrlPr>
          </m:dPr>
          <m:e>
            <m:r>
              <w:rPr>
                <w:rFonts w:ascii="Cambria Math" w:eastAsia="Arial Narrow" w:hAnsi="Cambria Math" w:cs="Times New Roman"/>
              </w:rPr>
              <m:t>y</m:t>
            </m:r>
          </m:e>
        </m:d>
        <m:r>
          <w:rPr>
            <w:rFonts w:ascii="Cambria Math" w:eastAsia="Arial Narrow" w:hAnsi="Cambria Math" w:cs="Times New Roman"/>
          </w:rPr>
          <m:t xml:space="preserve">=E </m:t>
        </m:r>
        <m:d>
          <m:dPr>
            <m:begChr m:val="["/>
            <m:endChr m:val="]"/>
            <m:ctrlPr>
              <w:rPr>
                <w:rFonts w:ascii="Cambria Math" w:eastAsia="Arial Narrow" w:hAnsi="Cambria Math" w:cs="Times New Roman"/>
                <w:i/>
              </w:rPr>
            </m:ctrlPr>
          </m:dPr>
          <m:e>
            <m:r>
              <w:rPr>
                <w:rFonts w:ascii="Cambria Math" w:eastAsia="Arial Narrow" w:hAnsi="Cambria Math" w:cs="Times New Roman"/>
              </w:rPr>
              <m:t xml:space="preserve"> </m:t>
            </m:r>
            <m:func>
              <m:funcPr>
                <m:ctrlPr>
                  <w:rPr>
                    <w:rFonts w:ascii="Cambria Math" w:eastAsia="Arial Narrow" w:hAnsi="Cambria Math" w:cs="Times New Roman"/>
                  </w:rPr>
                </m:ctrlPr>
              </m:funcPr>
              <m:fName>
                <m:r>
                  <m:rPr>
                    <m:sty m:val="p"/>
                  </m:rPr>
                  <w:rPr>
                    <w:rFonts w:ascii="Cambria Math" w:eastAsia="Arial Narrow" w:hAnsi="Cambria Math" w:cs="Times New Roman"/>
                  </w:rPr>
                  <m:t xml:space="preserve">min </m:t>
                </m:r>
                <m:ctrlPr>
                  <w:rPr>
                    <w:rFonts w:ascii="Cambria Math" w:eastAsia="Arial Narrow" w:hAnsi="Cambria Math" w:cs="Times New Roman"/>
                    <w:i/>
                  </w:rPr>
                </m:ctrlPr>
              </m:fName>
              <m:e>
                <m:d>
                  <m:dPr>
                    <m:ctrlPr>
                      <w:rPr>
                        <w:rFonts w:ascii="Cambria Math" w:eastAsia="Arial Narrow" w:hAnsi="Cambria Math" w:cs="Times New Roman"/>
                      </w:rPr>
                    </m:ctrlPr>
                  </m:dPr>
                  <m:e>
                    <m:sSup>
                      <m:sSupPr>
                        <m:ctrlPr>
                          <w:rPr>
                            <w:rFonts w:ascii="Cambria Math" w:eastAsia="Arial Narrow" w:hAnsi="Cambria Math" w:cs="Times New Roman"/>
                            <w:i/>
                          </w:rPr>
                        </m:ctrlPr>
                      </m:sSupPr>
                      <m:e>
                        <m:r>
                          <w:rPr>
                            <w:rFonts w:ascii="Cambria Math" w:eastAsia="Arial Narrow" w:hAnsi="Cambria Math" w:cs="Times New Roman"/>
                          </w:rPr>
                          <m:t>X</m:t>
                        </m:r>
                      </m:e>
                      <m:sup>
                        <m:r>
                          <w:rPr>
                            <w:rFonts w:ascii="Cambria Math" w:eastAsia="Arial Narrow" w:hAnsi="Cambria Math" w:cs="Times New Roman"/>
                          </w:rPr>
                          <m:t>1</m:t>
                        </m:r>
                      </m:sup>
                    </m:sSup>
                    <m:r>
                      <w:rPr>
                        <w:rFonts w:ascii="Cambria Math" w:eastAsia="Arial Narrow" w:hAnsi="Cambria Math" w:cs="Times New Roman"/>
                      </w:rPr>
                      <m:t xml:space="preserve">, …, </m:t>
                    </m:r>
                    <m:sSup>
                      <m:sSupPr>
                        <m:ctrlPr>
                          <w:rPr>
                            <w:rFonts w:ascii="Cambria Math" w:eastAsia="Arial Narrow" w:hAnsi="Cambria Math" w:cs="Times New Roman"/>
                            <w:i/>
                          </w:rPr>
                        </m:ctrlPr>
                      </m:sSupPr>
                      <m:e>
                        <m:r>
                          <w:rPr>
                            <w:rFonts w:ascii="Cambria Math" w:eastAsia="Arial Narrow" w:hAnsi="Cambria Math" w:cs="Times New Roman"/>
                          </w:rPr>
                          <m:t>X</m:t>
                        </m:r>
                      </m:e>
                      <m:sup>
                        <m:r>
                          <w:rPr>
                            <w:rFonts w:ascii="Cambria Math" w:eastAsia="Arial Narrow" w:hAnsi="Cambria Math" w:cs="Times New Roman"/>
                          </w:rPr>
                          <m:t>m</m:t>
                        </m:r>
                      </m:sup>
                    </m:sSup>
                  </m:e>
                </m:d>
                <m:r>
                  <w:rPr>
                    <w:rFonts w:ascii="Cambria Math" w:eastAsia="Arial Narrow" w:hAnsi="Cambria Math" w:cs="Times New Roman"/>
                  </w:rPr>
                  <m:t xml:space="preserve"> </m:t>
                </m:r>
                <m:r>
                  <m:rPr>
                    <m:sty m:val="p"/>
                  </m:rPr>
                  <w:rPr>
                    <w:rFonts w:ascii="Cambria Math" w:eastAsia="MTSYN" w:hAnsi="Cambria Math" w:cs="Times New Roman"/>
                    <w:sz w:val="20"/>
                    <w:szCs w:val="20"/>
                  </w:rPr>
                  <m:t xml:space="preserve">| </m:t>
                </m:r>
                <m:r>
                  <w:rPr>
                    <w:rFonts w:ascii="Cambria Math" w:eastAsia="Arial Narrow" w:hAnsi="Cambria Math" w:cs="Times New Roman"/>
                  </w:rPr>
                  <m:t xml:space="preserve">Y ≥y </m:t>
                </m:r>
              </m:e>
            </m:func>
          </m:e>
        </m:d>
        <m:r>
          <w:rPr>
            <w:rFonts w:ascii="Cambria Math" w:eastAsia="Arial Narrow" w:hAnsi="Cambria Math" w:cs="Times New Roman"/>
          </w:rPr>
          <m:t>=</m:t>
        </m:r>
        <m:nary>
          <m:naryPr>
            <m:limLoc m:val="subSup"/>
            <m:ctrlPr>
              <w:rPr>
                <w:rFonts w:ascii="Cambria Math" w:eastAsia="Arial Narrow" w:hAnsi="Cambria Math" w:cs="Times New Roman"/>
                <w:i/>
              </w:rPr>
            </m:ctrlPr>
          </m:naryPr>
          <m:sub>
            <m:r>
              <w:rPr>
                <w:rFonts w:ascii="Cambria Math" w:eastAsia="Arial Narrow" w:hAnsi="Cambria Math" w:cs="Times New Roman"/>
              </w:rPr>
              <m:t>0</m:t>
            </m:r>
          </m:sub>
          <m:sup>
            <m:r>
              <m:rPr>
                <m:sty m:val="p"/>
              </m:rPr>
              <w:rPr>
                <w:rFonts w:ascii="Cambria Math" w:hAnsi="Cambria Math" w:cs="Times New Roman"/>
                <w:color w:val="000000"/>
                <w:sz w:val="20"/>
                <w:szCs w:val="20"/>
                <w:shd w:val="clear" w:color="auto" w:fill="FFFFFF"/>
              </w:rPr>
              <m:t>∞</m:t>
            </m:r>
          </m:sup>
          <m:e>
            <m:sSup>
              <m:sSupPr>
                <m:ctrlPr>
                  <w:rPr>
                    <w:rFonts w:ascii="Cambria Math" w:eastAsia="Arial Narrow" w:hAnsi="Cambria Math" w:cs="Times New Roman"/>
                    <w:i/>
                  </w:rPr>
                </m:ctrlPr>
              </m:sSupPr>
              <m:e>
                <m:r>
                  <w:rPr>
                    <w:rFonts w:ascii="Cambria Math" w:eastAsia="Arial Narrow" w:hAnsi="Cambria Math" w:cs="Times New Roman"/>
                  </w:rPr>
                  <m:t>(1-</m:t>
                </m:r>
                <m:sSub>
                  <m:sSubPr>
                    <m:ctrlPr>
                      <w:rPr>
                        <w:rFonts w:ascii="Cambria Math" w:eastAsia="Arial Narrow" w:hAnsi="Cambria Math" w:cs="Times New Roman"/>
                        <w:i/>
                      </w:rPr>
                    </m:ctrlPr>
                  </m:sSubPr>
                  <m:e>
                    <m:r>
                      <w:rPr>
                        <w:rFonts w:ascii="Cambria Math" w:eastAsia="Arial Narrow" w:hAnsi="Cambria Math" w:cs="Times New Roman"/>
                      </w:rPr>
                      <m:t>F</m:t>
                    </m:r>
                  </m:e>
                  <m:sub>
                    <m:r>
                      <w:rPr>
                        <w:rFonts w:ascii="Cambria Math" w:eastAsia="Arial Narrow" w:hAnsi="Cambria Math" w:cs="Times New Roman"/>
                      </w:rPr>
                      <m:t>x</m:t>
                    </m:r>
                  </m:sub>
                </m:sSub>
                <m:d>
                  <m:dPr>
                    <m:ctrlPr>
                      <w:rPr>
                        <w:rFonts w:ascii="Cambria Math" w:eastAsia="Arial Narrow" w:hAnsi="Cambria Math" w:cs="Times New Roman"/>
                        <w:i/>
                      </w:rPr>
                    </m:ctrlPr>
                  </m:dPr>
                  <m:e>
                    <m:r>
                      <w:rPr>
                        <w:rFonts w:ascii="Cambria Math" w:eastAsia="Arial Narrow" w:hAnsi="Cambria Math" w:cs="Times New Roman"/>
                      </w:rPr>
                      <m:t xml:space="preserve">x </m:t>
                    </m:r>
                    <m:r>
                      <m:rPr>
                        <m:sty m:val="p"/>
                      </m:rPr>
                      <w:rPr>
                        <w:rFonts w:ascii="Cambria Math" w:eastAsia="MTSYN" w:hAnsi="Cambria Math" w:cs="Times New Roman"/>
                        <w:sz w:val="20"/>
                        <w:szCs w:val="20"/>
                      </w:rPr>
                      <m:t>| y</m:t>
                    </m:r>
                  </m:e>
                </m:d>
                <m:r>
                  <w:rPr>
                    <w:rFonts w:ascii="Cambria Math" w:eastAsia="Arial Narrow" w:hAnsi="Cambria Math" w:cs="Times New Roman"/>
                  </w:rPr>
                  <m:t>)</m:t>
                </m:r>
              </m:e>
              <m:sup>
                <m:r>
                  <w:rPr>
                    <w:rFonts w:ascii="Cambria Math" w:eastAsia="Arial Narrow" w:hAnsi="Cambria Math" w:cs="Times New Roman"/>
                  </w:rPr>
                  <m:t>m</m:t>
                </m:r>
              </m:sup>
            </m:sSup>
            <m:r>
              <w:rPr>
                <w:rFonts w:ascii="Cambria Math" w:eastAsia="Arial Narrow" w:hAnsi="Cambria Math" w:cs="Times New Roman"/>
              </w:rPr>
              <m:t>dx</m:t>
            </m:r>
          </m:e>
        </m:nary>
      </m:oMath>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r>
      <w:r w:rsidR="00CD16EF" w:rsidRPr="000A32A3">
        <w:rPr>
          <w:rFonts w:eastAsiaTheme="minorEastAsia" w:cs="Times New Roman"/>
        </w:rPr>
        <w:tab/>
        <w:t>(8)</w:t>
      </w:r>
    </w:p>
    <w:p w:rsidR="00CD16EF" w:rsidRPr="000A32A3" w:rsidRDefault="00CD16EF" w:rsidP="00982B81">
      <w:pPr>
        <w:spacing w:after="120" w:line="240" w:lineRule="auto"/>
        <w:ind w:firstLine="708"/>
        <w:rPr>
          <w:rFonts w:cs="Times New Roman"/>
        </w:rPr>
      </w:pPr>
      <w:r w:rsidRPr="000A32A3">
        <w:rPr>
          <w:rFonts w:cs="Times New Roman"/>
        </w:rPr>
        <w:t xml:space="preserve">Se </w:t>
      </w:r>
      <m:oMath>
        <m:r>
          <w:rPr>
            <w:rFonts w:ascii="Cambria Math" w:hAnsi="Cambria Math" w:cs="Times New Roman"/>
          </w:rPr>
          <m:t xml:space="preserve">m → </m:t>
        </m:r>
        <m:r>
          <m:rPr>
            <m:sty m:val="p"/>
          </m:rPr>
          <w:rPr>
            <w:rFonts w:ascii="Cambria Math" w:hAnsi="Cambria Math" w:cs="Times New Roman"/>
            <w:color w:val="000000"/>
            <w:sz w:val="20"/>
            <w:szCs w:val="20"/>
            <w:shd w:val="clear" w:color="auto" w:fill="FFFFFF"/>
          </w:rPr>
          <m:t>∞</m:t>
        </m:r>
      </m:oMath>
      <w:r w:rsidRPr="000A32A3">
        <w:rPr>
          <w:rFonts w:eastAsiaTheme="minorEastAsia" w:cs="Times New Roman"/>
          <w:color w:val="000000"/>
          <w:sz w:val="20"/>
          <w:szCs w:val="20"/>
          <w:shd w:val="clear" w:color="auto" w:fill="FFFFFF"/>
        </w:rPr>
        <w:t>,</w:t>
      </w:r>
      <w:r w:rsidRPr="000A32A3">
        <w:rPr>
          <w:rFonts w:cs="Times New Roman"/>
        </w:rPr>
        <w:t xml:space="preserve"> então a fronteira de ordem-m tende a fronteira completa, isto é, o estimador da função do mínimo esperado de insumos converge para o estimador FDH. </w:t>
      </w:r>
    </w:p>
    <w:p w:rsidR="00833F59" w:rsidRPr="000A32A3" w:rsidRDefault="00244598" w:rsidP="00982B81">
      <w:pPr>
        <w:spacing w:after="120" w:line="240" w:lineRule="auto"/>
        <w:rPr>
          <w:rFonts w:eastAsiaTheme="minorEastAsia" w:cs="Times New Roman"/>
        </w:rPr>
      </w:pPr>
      <m:oMath>
        <m:func>
          <m:funcPr>
            <m:ctrlPr>
              <w:rPr>
                <w:rFonts w:ascii="Cambria Math" w:eastAsia="Arial Narrow" w:hAnsi="Cambria Math" w:cs="Times New Roman"/>
                <w:i/>
              </w:rPr>
            </m:ctrlPr>
          </m:funcPr>
          <m:fName>
            <m:limLow>
              <m:limLowPr>
                <m:ctrlPr>
                  <w:rPr>
                    <w:rFonts w:ascii="Cambria Math" w:eastAsia="Arial Narrow" w:hAnsi="Cambria Math" w:cs="Times New Roman"/>
                    <w:i/>
                  </w:rPr>
                </m:ctrlPr>
              </m:limLowPr>
              <m:e>
                <m:r>
                  <m:rPr>
                    <m:sty m:val="p"/>
                  </m:rPr>
                  <w:rPr>
                    <w:rFonts w:ascii="Cambria Math" w:eastAsia="Arial Narrow" w:hAnsi="Cambria Math" w:cs="Times New Roman"/>
                  </w:rPr>
                  <m:t>lim</m:t>
                </m:r>
              </m:e>
              <m:lim>
                <m:r>
                  <w:rPr>
                    <w:rFonts w:ascii="Cambria Math" w:eastAsia="Arial Narrow" w:hAnsi="Cambria Math" w:cs="Times New Roman"/>
                  </w:rPr>
                  <m:t>m→∞</m:t>
                </m:r>
              </m:lim>
            </m:limLow>
          </m:fName>
          <m:e>
            <m:sSub>
              <m:sSubPr>
                <m:ctrlPr>
                  <w:rPr>
                    <w:rFonts w:ascii="Cambria Math" w:eastAsia="Arial Narrow" w:hAnsi="Cambria Math" w:cs="Times New Roman"/>
                    <w:i/>
                  </w:rPr>
                </m:ctrlPr>
              </m:sSubPr>
              <m:e>
                <m:r>
                  <w:rPr>
                    <w:rFonts w:ascii="Cambria Math" w:eastAsia="Arial Narrow" w:hAnsi="Cambria Math" w:cs="Times New Roman"/>
                  </w:rPr>
                  <m:t>θ</m:t>
                </m:r>
              </m:e>
              <m:sub>
                <m:r>
                  <w:rPr>
                    <w:rFonts w:ascii="Cambria Math" w:eastAsia="Arial Narrow" w:hAnsi="Cambria Math" w:cs="Times New Roman"/>
                  </w:rPr>
                  <m:t>m</m:t>
                </m:r>
              </m:sub>
            </m:sSub>
            <m:d>
              <m:dPr>
                <m:ctrlPr>
                  <w:rPr>
                    <w:rFonts w:ascii="Cambria Math" w:eastAsia="Arial Narrow" w:hAnsi="Cambria Math" w:cs="Times New Roman"/>
                    <w:i/>
                  </w:rPr>
                </m:ctrlPr>
              </m:dPr>
              <m:e>
                <m:r>
                  <w:rPr>
                    <w:rFonts w:ascii="Cambria Math" w:eastAsia="Arial Narrow" w:hAnsi="Cambria Math" w:cs="Times New Roman"/>
                  </w:rPr>
                  <m:t>x, y</m:t>
                </m:r>
              </m:e>
            </m:d>
            <m:r>
              <w:rPr>
                <w:rFonts w:ascii="Cambria Math" w:eastAsia="Arial Narrow" w:hAnsi="Cambria Math" w:cs="Times New Roman"/>
              </w:rPr>
              <m:t>= θ</m:t>
            </m:r>
            <m:d>
              <m:dPr>
                <m:ctrlPr>
                  <w:rPr>
                    <w:rFonts w:ascii="Cambria Math" w:eastAsia="Arial Narrow" w:hAnsi="Cambria Math" w:cs="Times New Roman"/>
                    <w:i/>
                  </w:rPr>
                </m:ctrlPr>
              </m:dPr>
              <m:e>
                <m:r>
                  <w:rPr>
                    <w:rFonts w:ascii="Cambria Math" w:eastAsia="Arial Narrow" w:hAnsi="Cambria Math" w:cs="Times New Roman"/>
                  </w:rPr>
                  <m:t>x, y</m:t>
                </m:r>
              </m:e>
            </m:d>
          </m:e>
        </m:func>
      </m:oMath>
      <w:r w:rsidR="00CD16EF" w:rsidRPr="000A32A3">
        <w:rPr>
          <w:rFonts w:eastAsiaTheme="minorEastAsia" w:cs="Times New Roman"/>
        </w:rPr>
        <w:tab/>
      </w:r>
    </w:p>
    <w:p w:rsidR="00CD16EF" w:rsidRPr="000A32A3" w:rsidRDefault="00CD16EF" w:rsidP="00982B81">
      <w:pPr>
        <w:spacing w:after="120" w:line="240" w:lineRule="auto"/>
        <w:rPr>
          <w:rFonts w:cs="Times New Roman"/>
        </w:rPr>
      </w:pP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r>
      <w:r w:rsidRPr="000A32A3">
        <w:rPr>
          <w:rFonts w:eastAsiaTheme="minorEastAsia" w:cs="Times New Roman"/>
        </w:rPr>
        <w:tab/>
        <w:t>(9)</w:t>
      </w:r>
    </w:p>
    <w:p w:rsidR="00685A84" w:rsidRPr="000A32A3" w:rsidRDefault="00685A84" w:rsidP="00982B81">
      <w:pPr>
        <w:pStyle w:val="Ttulo1"/>
        <w:numPr>
          <w:ilvl w:val="0"/>
          <w:numId w:val="17"/>
        </w:numPr>
        <w:spacing w:before="0" w:after="120" w:line="240" w:lineRule="auto"/>
        <w:rPr>
          <w:rFonts w:cs="Times New Roman"/>
        </w:rPr>
      </w:pPr>
      <w:bookmarkStart w:id="6" w:name="_Toc445241613"/>
      <w:r w:rsidRPr="000A32A3">
        <w:rPr>
          <w:rFonts w:cs="Times New Roman"/>
        </w:rPr>
        <w:t>Base de Dados</w:t>
      </w:r>
      <w:bookmarkEnd w:id="6"/>
    </w:p>
    <w:p w:rsidR="001A1223" w:rsidRPr="000A32A3" w:rsidRDefault="001A1223" w:rsidP="008422D2"/>
    <w:p w:rsidR="00CD16EF" w:rsidRPr="000A32A3" w:rsidRDefault="00CD16EF" w:rsidP="00982B81">
      <w:pPr>
        <w:spacing w:after="120" w:line="240" w:lineRule="auto"/>
        <w:ind w:firstLine="708"/>
        <w:rPr>
          <w:rFonts w:cs="Times New Roman"/>
        </w:rPr>
      </w:pPr>
      <w:r w:rsidRPr="000A32A3">
        <w:rPr>
          <w:rFonts w:cs="Times New Roman"/>
        </w:rPr>
        <w:t>As principais fontes de informações deste estudo foram a Relação Anual de Informações Sociais (</w:t>
      </w:r>
      <w:r w:rsidR="007B297C" w:rsidRPr="000A32A3">
        <w:rPr>
          <w:rFonts w:cs="Times New Roman"/>
        </w:rPr>
        <w:t>Rais</w:t>
      </w:r>
      <w:r w:rsidRPr="000A32A3">
        <w:rPr>
          <w:rFonts w:cs="Times New Roman"/>
        </w:rPr>
        <w:t>), que contém as características referentes ao mercado de trabalho formal das empresas</w:t>
      </w:r>
      <w:r w:rsidR="004554EB" w:rsidRPr="000A32A3">
        <w:rPr>
          <w:rFonts w:cs="Times New Roman"/>
        </w:rPr>
        <w:t xml:space="preserve"> localizadas em território goiano</w:t>
      </w:r>
      <w:r w:rsidRPr="000A32A3">
        <w:rPr>
          <w:rFonts w:cs="Times New Roman"/>
        </w:rPr>
        <w:t>, identificadas por CNPJ – Cadastro Nacional da Pessoa Jurídica; e, os relatórios gerenciais do Banco do Brasil (BB), que contém os financiamentos e demais informações identificadas por firma</w:t>
      </w:r>
      <w:r w:rsidR="00425BCB" w:rsidRPr="000A32A3">
        <w:rPr>
          <w:rStyle w:val="Refdenotaderodap"/>
          <w:rFonts w:cs="Times New Roman"/>
        </w:rPr>
        <w:footnoteReference w:id="7"/>
      </w:r>
      <w:r w:rsidRPr="000A32A3">
        <w:rPr>
          <w:rFonts w:cs="Times New Roman"/>
        </w:rPr>
        <w:t>. Assim, as duas bases foram cruzadas por meio do CNPJ.</w:t>
      </w:r>
    </w:p>
    <w:p w:rsidR="00CD16EF" w:rsidRPr="000A32A3" w:rsidRDefault="00CD16EF" w:rsidP="00982B81">
      <w:pPr>
        <w:spacing w:after="120" w:line="240" w:lineRule="auto"/>
        <w:ind w:firstLine="708"/>
        <w:rPr>
          <w:rFonts w:cs="Times New Roman"/>
        </w:rPr>
      </w:pPr>
      <w:r w:rsidRPr="000A32A3">
        <w:rPr>
          <w:rFonts w:cs="Times New Roman"/>
        </w:rPr>
        <w:t xml:space="preserve">O período analisado compreende o intervalo entre 2004 e 2011. A análise foi separada entre os anos de 2004 a 2008 e de 2008 a 2011, pois se espera variação de efeitos intertemporalmente, especialmente por conta da crise ocorrida no meio do intervalo abordado.  </w:t>
      </w:r>
    </w:p>
    <w:p w:rsidR="00CD16EF" w:rsidRPr="000A32A3" w:rsidRDefault="00CD16EF" w:rsidP="00982B81">
      <w:pPr>
        <w:spacing w:after="120" w:line="240" w:lineRule="auto"/>
        <w:ind w:firstLine="708"/>
        <w:rPr>
          <w:rFonts w:cs="Times New Roman"/>
        </w:rPr>
      </w:pPr>
      <w:r w:rsidRPr="000A32A3">
        <w:rPr>
          <w:rFonts w:cs="Times New Roman"/>
        </w:rPr>
        <w:t xml:space="preserve">No programa Rural a maior parte dos financiamentos é feita por meio do Cadastro de Pessoa Física (CPF). Além disso, a maior parte dos empregos deste setor é informal, portanto, não pode ser examinado com o uso da </w:t>
      </w:r>
      <w:r w:rsidR="007B297C" w:rsidRPr="000A32A3">
        <w:rPr>
          <w:rFonts w:cs="Times New Roman"/>
        </w:rPr>
        <w:t>Rais</w:t>
      </w:r>
      <w:r w:rsidRPr="000A32A3">
        <w:rPr>
          <w:rFonts w:cs="Times New Roman"/>
        </w:rPr>
        <w:t xml:space="preserve">. Assim, a análise restringiu-se ao programa Empresarial, que atende exclusivamente os setores industrial e de serviços. </w:t>
      </w:r>
    </w:p>
    <w:p w:rsidR="007456B4" w:rsidRPr="000A32A3" w:rsidRDefault="00045B5C" w:rsidP="00053140">
      <w:pPr>
        <w:spacing w:after="120" w:line="240" w:lineRule="auto"/>
        <w:ind w:firstLine="708"/>
        <w:rPr>
          <w:rFonts w:cs="Times New Roman"/>
        </w:rPr>
      </w:pPr>
      <w:r w:rsidRPr="000A32A3">
        <w:rPr>
          <w:rFonts w:cs="Times New Roman"/>
        </w:rPr>
        <w:t>Entre os principais componentes do desenvolvimento regional, estão a geração de empregos e de renda</w:t>
      </w:r>
      <w:r w:rsidR="00BE5653" w:rsidRPr="000A32A3">
        <w:rPr>
          <w:rFonts w:cs="Times New Roman"/>
        </w:rPr>
        <w:t xml:space="preserve">, alguns dos </w:t>
      </w:r>
      <w:r w:rsidR="00B357C0" w:rsidRPr="000A32A3">
        <w:rPr>
          <w:rFonts w:cs="Times New Roman"/>
        </w:rPr>
        <w:t xml:space="preserve">indicadores de desenvolvimento mais utilizados na literatura de desenvolvimento econômico. </w:t>
      </w:r>
      <w:r w:rsidR="00CD16EF" w:rsidRPr="000A32A3">
        <w:rPr>
          <w:rFonts w:cs="Times New Roman"/>
        </w:rPr>
        <w:t>A</w:t>
      </w:r>
      <w:r w:rsidR="00B357C0" w:rsidRPr="000A32A3">
        <w:rPr>
          <w:rFonts w:cs="Times New Roman"/>
        </w:rPr>
        <w:t>lém disso, a</w:t>
      </w:r>
      <w:r w:rsidR="00CD16EF" w:rsidRPr="000A32A3">
        <w:rPr>
          <w:rFonts w:cs="Times New Roman"/>
        </w:rPr>
        <w:t xml:space="preserve"> taxa de desemprego é um sinal de que os trabalhadores não estão no mercado de trabalho, sugerindo que os fatores de produção não estão bem alocados. Contudo, a variável variação de empregos não é a única importante, pois as empresas podem adquirir capital físico e/ou tecnologia, </w:t>
      </w:r>
      <w:r w:rsidR="004554EB" w:rsidRPr="000A32A3">
        <w:rPr>
          <w:rFonts w:cs="Times New Roman"/>
        </w:rPr>
        <w:t>afetando</w:t>
      </w:r>
      <w:r w:rsidR="00CD16EF" w:rsidRPr="000A32A3">
        <w:rPr>
          <w:rFonts w:cs="Times New Roman"/>
        </w:rPr>
        <w:t xml:space="preserve"> a qualidade do emprego, refletida na remuneração do trabalh</w:t>
      </w:r>
      <w:r w:rsidR="004554EB" w:rsidRPr="000A32A3">
        <w:rPr>
          <w:rFonts w:cs="Times New Roman"/>
        </w:rPr>
        <w:t xml:space="preserve">o, também </w:t>
      </w:r>
      <w:r w:rsidR="00CD16EF" w:rsidRPr="000A32A3">
        <w:rPr>
          <w:rFonts w:cs="Times New Roman"/>
        </w:rPr>
        <w:t>utilizada como produto. Inclusive, devido à dificuldade de obter informações referentes ao capital físico das empresas, u</w:t>
      </w:r>
      <w:r w:rsidR="004554EB" w:rsidRPr="000A32A3">
        <w:rPr>
          <w:rFonts w:cs="Times New Roman"/>
        </w:rPr>
        <w:t>tiliz</w:t>
      </w:r>
      <w:r w:rsidR="00CD16EF" w:rsidRPr="000A32A3">
        <w:rPr>
          <w:rFonts w:cs="Times New Roman"/>
        </w:rPr>
        <w:t>a-se a variação de salários, que visa captar o aumento da produtividade média do trabalhador.</w:t>
      </w:r>
      <w:r w:rsidR="002A4AB6" w:rsidRPr="000A32A3">
        <w:rPr>
          <w:rFonts w:cs="Times New Roman"/>
        </w:rPr>
        <w:t xml:space="preserve"> </w:t>
      </w:r>
    </w:p>
    <w:p w:rsidR="002A4AB6" w:rsidRPr="000A32A3" w:rsidRDefault="002A4AB6" w:rsidP="00053140">
      <w:pPr>
        <w:spacing w:after="120" w:line="240" w:lineRule="auto"/>
        <w:ind w:firstLine="708"/>
        <w:rPr>
          <w:rFonts w:cs="Times New Roman"/>
        </w:rPr>
      </w:pPr>
      <w:r w:rsidRPr="000A32A3">
        <w:rPr>
          <w:rFonts w:cs="Times New Roman"/>
        </w:rPr>
        <w:t xml:space="preserve">As variáveis ambientais foram escolhidas com o intuito de identificar os determinantes da eficiência. Neste sentido, a classificação das linhas de financiamento e o porte das </w:t>
      </w:r>
      <w:r w:rsidRPr="000A32A3">
        <w:rPr>
          <w:rFonts w:cs="Times New Roman"/>
        </w:rPr>
        <w:lastRenderedPageBreak/>
        <w:t>empresas são fatores que contribuem para explicar os escores de eficiência porque influenciam diretamente nas taxas de juros contratadas.</w:t>
      </w:r>
      <w:r w:rsidR="00721A7B" w:rsidRPr="000A32A3">
        <w:rPr>
          <w:rFonts w:cs="Times New Roman"/>
        </w:rPr>
        <w:t xml:space="preserve"> Além disso, o número de trabalhadores qualificados, utilizados nos estudos de Resende (2014a) e Oliveira, Menezes e Resende (2015), se relaciona com ambos os produtos qualitativamente.</w:t>
      </w:r>
    </w:p>
    <w:p w:rsidR="00721A7B" w:rsidRPr="000A32A3" w:rsidRDefault="00721A7B" w:rsidP="00053140">
      <w:pPr>
        <w:spacing w:after="120" w:line="240" w:lineRule="auto"/>
        <w:ind w:firstLine="708"/>
        <w:rPr>
          <w:rFonts w:cs="Times New Roman"/>
        </w:rPr>
      </w:pPr>
    </w:p>
    <w:p w:rsidR="00CD16EF" w:rsidRPr="000A32A3" w:rsidRDefault="00CD16EF" w:rsidP="00982B81">
      <w:pPr>
        <w:spacing w:line="240" w:lineRule="auto"/>
        <w:rPr>
          <w:rFonts w:cs="Times New Roman"/>
          <w:b/>
        </w:rPr>
      </w:pPr>
      <w:r w:rsidRPr="000A32A3">
        <w:rPr>
          <w:rFonts w:cs="Times New Roman"/>
          <w:b/>
        </w:rPr>
        <w:t>Tabela 1: Produtos, insumos e variáveis ambientais.</w:t>
      </w:r>
    </w:p>
    <w:tbl>
      <w:tblPr>
        <w:tblW w:w="5000" w:type="pct"/>
        <w:jc w:val="center"/>
        <w:tblCellMar>
          <w:left w:w="70" w:type="dxa"/>
          <w:right w:w="70" w:type="dxa"/>
        </w:tblCellMar>
        <w:tblLook w:val="04A0" w:firstRow="1" w:lastRow="0" w:firstColumn="1" w:lastColumn="0" w:noHBand="0" w:noVBand="1"/>
      </w:tblPr>
      <w:tblGrid>
        <w:gridCol w:w="2391"/>
        <w:gridCol w:w="3410"/>
        <w:gridCol w:w="3410"/>
      </w:tblGrid>
      <w:tr w:rsidR="00CD16EF" w:rsidRPr="000A32A3" w:rsidTr="005C36C7">
        <w:trPr>
          <w:trHeight w:val="300"/>
          <w:jc w:val="center"/>
        </w:trPr>
        <w:tc>
          <w:tcPr>
            <w:tcW w:w="1298"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lang w:eastAsia="pt-BR"/>
              </w:rPr>
            </w:pPr>
            <w:r w:rsidRPr="000A32A3">
              <w:rPr>
                <w:rFonts w:eastAsia="Times New Roman" w:cs="Times New Roman"/>
                <w:b/>
                <w:bCs/>
                <w:color w:val="000000"/>
                <w:lang w:eastAsia="pt-BR"/>
              </w:rPr>
              <w:t>Insumos</w:t>
            </w:r>
          </w:p>
        </w:tc>
        <w:tc>
          <w:tcPr>
            <w:tcW w:w="1851" w:type="pct"/>
            <w:tcBorders>
              <w:top w:val="single" w:sz="4" w:space="0" w:color="auto"/>
              <w:left w:val="nil"/>
              <w:bottom w:val="single" w:sz="4" w:space="0" w:color="auto"/>
              <w:right w:val="nil"/>
            </w:tcBorders>
            <w:vAlign w:val="center"/>
          </w:tcPr>
          <w:p w:rsidR="00CD16EF" w:rsidRPr="000A32A3" w:rsidRDefault="00CD16EF" w:rsidP="00982B81">
            <w:pPr>
              <w:spacing w:after="0" w:line="240" w:lineRule="auto"/>
              <w:jc w:val="center"/>
              <w:rPr>
                <w:rFonts w:eastAsia="Times New Roman" w:cs="Times New Roman"/>
                <w:b/>
                <w:bCs/>
                <w:color w:val="000000"/>
                <w:lang w:eastAsia="pt-BR"/>
              </w:rPr>
            </w:pPr>
            <w:r w:rsidRPr="000A32A3">
              <w:rPr>
                <w:rFonts w:eastAsia="Times New Roman" w:cs="Times New Roman"/>
                <w:b/>
                <w:bCs/>
                <w:color w:val="000000"/>
                <w:lang w:eastAsia="pt-BR"/>
              </w:rPr>
              <w:t>Produtos</w:t>
            </w:r>
          </w:p>
        </w:tc>
        <w:tc>
          <w:tcPr>
            <w:tcW w:w="1851"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lang w:eastAsia="pt-BR"/>
              </w:rPr>
            </w:pPr>
            <w:r w:rsidRPr="000A32A3">
              <w:rPr>
                <w:rFonts w:eastAsia="Times New Roman" w:cs="Times New Roman"/>
                <w:b/>
                <w:bCs/>
                <w:color w:val="000000"/>
                <w:lang w:eastAsia="pt-BR"/>
              </w:rPr>
              <w:t>Variáveis ambientais</w:t>
            </w:r>
          </w:p>
        </w:tc>
      </w:tr>
      <w:tr w:rsidR="00CD16EF" w:rsidRPr="000A32A3" w:rsidTr="005C36C7">
        <w:trPr>
          <w:trHeight w:val="158"/>
          <w:jc w:val="center"/>
        </w:trPr>
        <w:tc>
          <w:tcPr>
            <w:tcW w:w="1298" w:type="pct"/>
            <w:tcBorders>
              <w:top w:val="nil"/>
              <w:left w:val="nil"/>
              <w:bottom w:val="nil"/>
              <w:right w:val="nil"/>
            </w:tcBorders>
            <w:shd w:val="clear" w:color="auto" w:fill="auto"/>
            <w:vAlign w:val="bottom"/>
            <w:hideMark/>
          </w:tcPr>
          <w:p w:rsidR="00CD16EF" w:rsidRPr="000A32A3" w:rsidRDefault="00CD16EF" w:rsidP="00982B81">
            <w:pPr>
              <w:spacing w:after="0" w:line="240" w:lineRule="auto"/>
              <w:rPr>
                <w:rFonts w:eastAsia="Times New Roman" w:cs="Times New Roman"/>
                <w:color w:val="000000"/>
                <w:lang w:eastAsia="pt-BR"/>
              </w:rPr>
            </w:pPr>
            <w:r w:rsidRPr="000A32A3">
              <w:rPr>
                <w:rFonts w:eastAsia="Times New Roman" w:cs="Times New Roman"/>
                <w:color w:val="000000"/>
                <w:sz w:val="22"/>
                <w:lang w:eastAsia="pt-BR"/>
              </w:rPr>
              <w:t>Valor do financiamento</w:t>
            </w:r>
          </w:p>
        </w:tc>
        <w:tc>
          <w:tcPr>
            <w:tcW w:w="1851" w:type="pct"/>
            <w:tcBorders>
              <w:top w:val="nil"/>
              <w:left w:val="nil"/>
              <w:bottom w:val="nil"/>
              <w:right w:val="nil"/>
            </w:tcBorders>
            <w:vAlign w:val="bottom"/>
          </w:tcPr>
          <w:p w:rsidR="00CD16EF" w:rsidRPr="000A32A3" w:rsidRDefault="00CD16EF" w:rsidP="00982B81">
            <w:pPr>
              <w:spacing w:after="0" w:line="240" w:lineRule="auto"/>
              <w:rPr>
                <w:rFonts w:eastAsia="Times New Roman" w:cs="Times New Roman"/>
                <w:color w:val="000000"/>
                <w:lang w:eastAsia="pt-BR"/>
              </w:rPr>
            </w:pPr>
            <w:r w:rsidRPr="000A32A3">
              <w:rPr>
                <w:rFonts w:eastAsia="Times New Roman" w:cs="Times New Roman"/>
                <w:color w:val="000000"/>
                <w:sz w:val="22"/>
                <w:lang w:eastAsia="pt-BR"/>
              </w:rPr>
              <w:t>Variação do número de empregos</w:t>
            </w:r>
          </w:p>
        </w:tc>
        <w:tc>
          <w:tcPr>
            <w:tcW w:w="185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ind w:left="429" w:hanging="429"/>
              <w:rPr>
                <w:rFonts w:eastAsia="Times New Roman" w:cs="Times New Roman"/>
                <w:color w:val="000000"/>
                <w:lang w:eastAsia="pt-BR"/>
              </w:rPr>
            </w:pPr>
            <w:r w:rsidRPr="000A32A3">
              <w:rPr>
                <w:rFonts w:eastAsia="Times New Roman" w:cs="Times New Roman"/>
                <w:color w:val="000000"/>
                <w:sz w:val="22"/>
                <w:lang w:eastAsia="pt-BR"/>
              </w:rPr>
              <w:t>Porte</w:t>
            </w:r>
          </w:p>
        </w:tc>
      </w:tr>
      <w:tr w:rsidR="00CD16EF" w:rsidRPr="000A32A3" w:rsidTr="005C36C7">
        <w:trPr>
          <w:trHeight w:val="158"/>
          <w:jc w:val="center"/>
        </w:trPr>
        <w:tc>
          <w:tcPr>
            <w:tcW w:w="1298" w:type="pct"/>
            <w:tcBorders>
              <w:top w:val="nil"/>
              <w:left w:val="nil"/>
              <w:right w:val="nil"/>
            </w:tcBorders>
            <w:shd w:val="clear" w:color="auto" w:fill="auto"/>
            <w:vAlign w:val="bottom"/>
            <w:hideMark/>
          </w:tcPr>
          <w:p w:rsidR="00CD16EF" w:rsidRPr="000A32A3" w:rsidRDefault="00CD16EF" w:rsidP="00982B81">
            <w:pPr>
              <w:spacing w:after="0" w:line="240" w:lineRule="auto"/>
              <w:rPr>
                <w:rFonts w:eastAsia="Times New Roman" w:cs="Times New Roman"/>
                <w:color w:val="000000"/>
                <w:lang w:eastAsia="pt-BR"/>
              </w:rPr>
            </w:pPr>
          </w:p>
        </w:tc>
        <w:tc>
          <w:tcPr>
            <w:tcW w:w="1851" w:type="pct"/>
            <w:tcBorders>
              <w:top w:val="nil"/>
              <w:left w:val="nil"/>
              <w:right w:val="nil"/>
            </w:tcBorders>
          </w:tcPr>
          <w:p w:rsidR="00CD16EF" w:rsidRPr="000A32A3" w:rsidRDefault="00CD16EF" w:rsidP="00982B81">
            <w:pPr>
              <w:spacing w:after="0" w:line="240" w:lineRule="auto"/>
              <w:rPr>
                <w:rFonts w:eastAsia="Times New Roman" w:cs="Times New Roman"/>
                <w:color w:val="000000"/>
                <w:lang w:eastAsia="pt-BR"/>
              </w:rPr>
            </w:pPr>
            <w:r w:rsidRPr="000A32A3">
              <w:rPr>
                <w:rFonts w:eastAsia="Times New Roman" w:cs="Times New Roman"/>
                <w:color w:val="000000"/>
                <w:sz w:val="22"/>
                <w:lang w:eastAsia="pt-BR"/>
              </w:rPr>
              <w:t xml:space="preserve">Variação do salário médio </w:t>
            </w:r>
          </w:p>
        </w:tc>
        <w:tc>
          <w:tcPr>
            <w:tcW w:w="1851" w:type="pct"/>
            <w:tcBorders>
              <w:top w:val="nil"/>
              <w:left w:val="nil"/>
              <w:right w:val="nil"/>
            </w:tcBorders>
            <w:shd w:val="clear" w:color="auto" w:fill="auto"/>
            <w:vAlign w:val="bottom"/>
          </w:tcPr>
          <w:p w:rsidR="00CD16EF" w:rsidRPr="000A32A3" w:rsidRDefault="00CD16EF" w:rsidP="00982B81">
            <w:pPr>
              <w:spacing w:after="0" w:line="240" w:lineRule="auto"/>
              <w:rPr>
                <w:rFonts w:eastAsia="Times New Roman" w:cs="Times New Roman"/>
                <w:color w:val="000000"/>
                <w:lang w:eastAsia="pt-BR"/>
              </w:rPr>
            </w:pPr>
            <w:r w:rsidRPr="000A32A3">
              <w:rPr>
                <w:rFonts w:eastAsia="Times New Roman" w:cs="Times New Roman"/>
                <w:color w:val="000000"/>
                <w:sz w:val="22"/>
                <w:lang w:eastAsia="pt-BR"/>
              </w:rPr>
              <w:t>Linha de financiamento</w:t>
            </w:r>
          </w:p>
        </w:tc>
      </w:tr>
      <w:tr w:rsidR="00CD16EF" w:rsidRPr="000A32A3" w:rsidTr="005C36C7">
        <w:trPr>
          <w:trHeight w:val="300"/>
          <w:jc w:val="center"/>
        </w:trPr>
        <w:tc>
          <w:tcPr>
            <w:tcW w:w="1298" w:type="pct"/>
            <w:tcBorders>
              <w:top w:val="nil"/>
              <w:left w:val="nil"/>
              <w:bottom w:val="single" w:sz="4" w:space="0" w:color="auto"/>
              <w:right w:val="nil"/>
            </w:tcBorders>
            <w:shd w:val="clear" w:color="auto" w:fill="auto"/>
            <w:vAlign w:val="bottom"/>
            <w:hideMark/>
          </w:tcPr>
          <w:p w:rsidR="00CD16EF" w:rsidRPr="000A32A3" w:rsidRDefault="00CD16EF" w:rsidP="00982B81">
            <w:pPr>
              <w:spacing w:after="0" w:line="240" w:lineRule="auto"/>
              <w:rPr>
                <w:rFonts w:eastAsia="Times New Roman" w:cs="Times New Roman"/>
                <w:color w:val="000000"/>
                <w:lang w:eastAsia="pt-BR"/>
              </w:rPr>
            </w:pPr>
          </w:p>
        </w:tc>
        <w:tc>
          <w:tcPr>
            <w:tcW w:w="1851" w:type="pct"/>
            <w:tcBorders>
              <w:top w:val="nil"/>
              <w:left w:val="nil"/>
              <w:bottom w:val="single" w:sz="4" w:space="0" w:color="auto"/>
              <w:right w:val="nil"/>
            </w:tcBorders>
            <w:vAlign w:val="bottom"/>
          </w:tcPr>
          <w:p w:rsidR="00CD16EF" w:rsidRPr="000A32A3" w:rsidRDefault="00CD16EF" w:rsidP="00982B81">
            <w:pPr>
              <w:spacing w:after="0" w:line="240" w:lineRule="auto"/>
              <w:rPr>
                <w:rFonts w:eastAsia="Times New Roman" w:cs="Times New Roman"/>
                <w:color w:val="000000"/>
                <w:lang w:eastAsia="pt-BR"/>
              </w:rPr>
            </w:pPr>
          </w:p>
        </w:tc>
        <w:tc>
          <w:tcPr>
            <w:tcW w:w="1851" w:type="pct"/>
            <w:tcBorders>
              <w:top w:val="nil"/>
              <w:left w:val="nil"/>
              <w:bottom w:val="single" w:sz="4" w:space="0" w:color="auto"/>
              <w:right w:val="nil"/>
            </w:tcBorders>
            <w:shd w:val="clear" w:color="auto" w:fill="auto"/>
            <w:vAlign w:val="bottom"/>
          </w:tcPr>
          <w:p w:rsidR="00CD16EF" w:rsidRPr="000A32A3" w:rsidRDefault="00CD16EF" w:rsidP="00982B81">
            <w:pPr>
              <w:spacing w:after="0" w:line="240" w:lineRule="auto"/>
              <w:ind w:left="429" w:hanging="429"/>
              <w:jc w:val="left"/>
              <w:rPr>
                <w:rFonts w:eastAsia="Times New Roman" w:cs="Times New Roman"/>
                <w:color w:val="000000"/>
                <w:lang w:eastAsia="pt-BR"/>
              </w:rPr>
            </w:pPr>
            <w:r w:rsidRPr="000A32A3">
              <w:rPr>
                <w:rFonts w:eastAsia="Times New Roman" w:cs="Times New Roman"/>
                <w:color w:val="000000"/>
                <w:sz w:val="22"/>
                <w:lang w:eastAsia="pt-BR"/>
              </w:rPr>
              <w:t>Número de trabalhadores</w:t>
            </w:r>
            <w:r w:rsidR="00190342" w:rsidRPr="000A32A3">
              <w:rPr>
                <w:rFonts w:eastAsia="Times New Roman" w:cs="Times New Roman"/>
                <w:color w:val="000000"/>
                <w:sz w:val="22"/>
                <w:lang w:eastAsia="pt-BR"/>
              </w:rPr>
              <w:t xml:space="preserve"> </w:t>
            </w:r>
            <w:r w:rsidRPr="000A32A3">
              <w:rPr>
                <w:rFonts w:eastAsia="Times New Roman" w:cs="Times New Roman"/>
                <w:color w:val="000000"/>
                <w:sz w:val="22"/>
                <w:lang w:eastAsia="pt-BR"/>
              </w:rPr>
              <w:t>qualificados (ensino superior)</w:t>
            </w:r>
          </w:p>
        </w:tc>
      </w:tr>
    </w:tbl>
    <w:p w:rsidR="00CD16EF" w:rsidRPr="000A32A3" w:rsidRDefault="00CD16EF" w:rsidP="00982B81">
      <w:pPr>
        <w:spacing w:after="0" w:line="240" w:lineRule="auto"/>
        <w:rPr>
          <w:rFonts w:cs="Times New Roman"/>
          <w:sz w:val="18"/>
        </w:rPr>
      </w:pPr>
      <w:r w:rsidRPr="000A32A3">
        <w:rPr>
          <w:rFonts w:cs="Times New Roman"/>
          <w:sz w:val="18"/>
        </w:rPr>
        <w:t xml:space="preserve">Fonte: </w:t>
      </w:r>
      <w:r w:rsidR="007B297C" w:rsidRPr="000A32A3">
        <w:rPr>
          <w:rFonts w:cs="Times New Roman"/>
          <w:sz w:val="18"/>
        </w:rPr>
        <w:t>Rais</w:t>
      </w:r>
      <w:r w:rsidRPr="000A32A3">
        <w:rPr>
          <w:rFonts w:cs="Times New Roman"/>
          <w:sz w:val="18"/>
        </w:rPr>
        <w:t xml:space="preserve"> e informações gerenciais do BB. </w:t>
      </w:r>
    </w:p>
    <w:p w:rsidR="00CD16EF" w:rsidRPr="000A32A3" w:rsidRDefault="00CD16EF" w:rsidP="004002D0">
      <w:pPr>
        <w:spacing w:after="0" w:line="240" w:lineRule="auto"/>
        <w:rPr>
          <w:rFonts w:cs="Times New Roman"/>
          <w:sz w:val="18"/>
        </w:rPr>
      </w:pPr>
      <w:r w:rsidRPr="000A32A3">
        <w:rPr>
          <w:rFonts w:cs="Times New Roman"/>
          <w:sz w:val="18"/>
        </w:rPr>
        <w:t>Elaboração: autor.</w:t>
      </w:r>
    </w:p>
    <w:p w:rsidR="004002D0" w:rsidRPr="000A32A3" w:rsidRDefault="004002D0" w:rsidP="004002D0">
      <w:pPr>
        <w:spacing w:after="0" w:line="240" w:lineRule="auto"/>
        <w:rPr>
          <w:rFonts w:cs="Times New Roman"/>
          <w:sz w:val="18"/>
        </w:rPr>
      </w:pPr>
    </w:p>
    <w:p w:rsidR="00CD16EF" w:rsidRPr="000A32A3" w:rsidRDefault="00CD16EF" w:rsidP="00982B81">
      <w:pPr>
        <w:spacing w:after="120" w:line="240" w:lineRule="auto"/>
        <w:ind w:firstLine="708"/>
        <w:rPr>
          <w:rFonts w:cs="Times New Roman"/>
        </w:rPr>
      </w:pPr>
      <w:r w:rsidRPr="000A32A3">
        <w:rPr>
          <w:rFonts w:cs="Times New Roman"/>
        </w:rPr>
        <w:t xml:space="preserve">Gonçalves e França (2013) afirmam que o cálculo da eficiência por intermédio de modelos não paramétricos permite a incorporação de inúmeros insumo/produtos, e fundamenta-se nos axiomas fracos da teoria econômica, não necessitando que a forma funcional seja predeterminada. </w:t>
      </w:r>
    </w:p>
    <w:p w:rsidR="00CD16EF" w:rsidRPr="000A32A3" w:rsidRDefault="00CD16EF" w:rsidP="00982B81">
      <w:pPr>
        <w:spacing w:after="120" w:line="240" w:lineRule="auto"/>
        <w:ind w:firstLine="708"/>
        <w:rPr>
          <w:rFonts w:cs="Times New Roman"/>
        </w:rPr>
      </w:pPr>
      <w:r w:rsidRPr="000A32A3">
        <w:rPr>
          <w:rFonts w:cs="Times New Roman"/>
        </w:rPr>
        <w:t>A natureza determinística dos modelos não paramétricos faz com que todas as observações sejam consideradas e factíveis. Assim, a ineficiência devido a presença de observações atípicas (</w:t>
      </w:r>
      <w:r w:rsidRPr="000A32A3">
        <w:rPr>
          <w:rFonts w:cs="Times New Roman"/>
          <w:i/>
        </w:rPr>
        <w:t>outliers</w:t>
      </w:r>
      <w:r w:rsidRPr="000A32A3">
        <w:rPr>
          <w:rFonts w:cs="Times New Roman"/>
        </w:rPr>
        <w:t>), erros de medida, variáveis omitidas outras discrepâncias estatísticas não deveria ser levada em conta, como sugerem Sousa, Cribari-Neto e Stosic (2005). A heterogeneidade dos dados na DEA pode agravar este problema e levar à subestimação dos escores de eficiência, especialmente se a base de dados for grande e diversa</w:t>
      </w:r>
      <w:r w:rsidR="007B297C" w:rsidRPr="000A32A3">
        <w:rPr>
          <w:rFonts w:cs="Times New Roman"/>
        </w:rPr>
        <w:t>, caso deste estudo, que possui</w:t>
      </w:r>
      <w:r w:rsidRPr="000A32A3">
        <w:rPr>
          <w:rFonts w:cs="Times New Roman"/>
        </w:rPr>
        <w:t xml:space="preserve"> amostra da ordem de milhares de observações. Portanto, seria visualmente impossível detectar manualmente esses casos atípicos, surgindo a necessidade de utilizar um procedimento automático de identificação e corrigir os índices de eficiência.</w:t>
      </w:r>
    </w:p>
    <w:p w:rsidR="00CD16EF" w:rsidRPr="000A32A3" w:rsidRDefault="00CD16EF" w:rsidP="00982B81">
      <w:pPr>
        <w:spacing w:after="120" w:line="240" w:lineRule="auto"/>
        <w:ind w:firstLine="708"/>
        <w:rPr>
          <w:rFonts w:cs="Times New Roman"/>
        </w:rPr>
      </w:pPr>
      <w:r w:rsidRPr="000A32A3">
        <w:rPr>
          <w:rFonts w:cs="Times New Roman"/>
        </w:rPr>
        <w:t xml:space="preserve">Numa aplicação deste procedimento, Souza, Araújo e Tannuri-Pianto (2012) mostram que a distribuição da eficiência era altamente assimétrica, indicando a presença de </w:t>
      </w:r>
      <w:r w:rsidRPr="000A32A3">
        <w:rPr>
          <w:rFonts w:cs="Times New Roman"/>
          <w:i/>
        </w:rPr>
        <w:t>outliers</w:t>
      </w:r>
      <w:r w:rsidRPr="000A32A3">
        <w:rPr>
          <w:rFonts w:cs="Times New Roman"/>
        </w:rPr>
        <w:t>. Após retirados, a análise se tornou mais robusta e condizente com a realidade.</w:t>
      </w:r>
      <w:r w:rsidRPr="000A32A3">
        <w:rPr>
          <w:rFonts w:cs="Times New Roman"/>
          <w:color w:val="221E1F"/>
        </w:rPr>
        <w:t xml:space="preserve"> </w:t>
      </w:r>
      <w:r w:rsidRPr="000A32A3">
        <w:rPr>
          <w:rFonts w:cs="Times New Roman"/>
        </w:rPr>
        <w:t>Assim, neste estudo também foram retirados os financiamentos com valores superiores a R$ 10 milhões e as empresas com uma variação de emprego e/ou salário superiores a dez vezes ao nível do ano base, além do uso do estimador robusto.</w:t>
      </w:r>
    </w:p>
    <w:p w:rsidR="00CD16EF" w:rsidRPr="000A32A3" w:rsidRDefault="00CD16EF" w:rsidP="00982B81">
      <w:pPr>
        <w:spacing w:after="120" w:line="240" w:lineRule="auto"/>
        <w:ind w:firstLine="708"/>
        <w:rPr>
          <w:rFonts w:cs="Times New Roman"/>
        </w:rPr>
      </w:pPr>
      <w:r w:rsidRPr="000A32A3">
        <w:rPr>
          <w:rFonts w:cs="Times New Roman"/>
        </w:rPr>
        <w:t xml:space="preserve">A tabela a seguir apresenta as estatísticas descritivas das empresas pertencentes à amostra nos dois períodos abordados, </w:t>
      </w:r>
      <w:r w:rsidR="00A00C83" w:rsidRPr="000A32A3">
        <w:rPr>
          <w:rFonts w:cs="Times New Roman"/>
        </w:rPr>
        <w:t xml:space="preserve">com informações referentes ao último ano do intervalo, </w:t>
      </w:r>
      <w:r w:rsidRPr="000A32A3">
        <w:rPr>
          <w:rFonts w:cs="Times New Roman"/>
        </w:rPr>
        <w:t xml:space="preserve">sendo o primeiro entre 2004 e 2008 e o segundo entre 2008 e 2011. Os valores foram atualizados para o ano de 2011 pelo Índice Nacional de Preços ao Consumidor Amplo (IPCA) do Instituto Brasileiro de Geografia e Estatística (IBGE). Em ambos os casos, percebe-se que a amostra final diminuiu, pois são comparadas apenas as empresas que tomaram o FCO no </w:t>
      </w:r>
      <w:r w:rsidR="004554EB" w:rsidRPr="000A32A3">
        <w:rPr>
          <w:rFonts w:cs="Times New Roman"/>
        </w:rPr>
        <w:t>primeiro ano do período</w:t>
      </w:r>
      <w:r w:rsidRPr="000A32A3">
        <w:rPr>
          <w:rFonts w:cs="Times New Roman"/>
        </w:rPr>
        <w:t xml:space="preserve"> e constam apenas as firmas que apareceram na </w:t>
      </w:r>
      <w:r w:rsidR="007B297C" w:rsidRPr="000A32A3">
        <w:rPr>
          <w:rFonts w:cs="Times New Roman"/>
        </w:rPr>
        <w:t xml:space="preserve">Rais </w:t>
      </w:r>
      <w:r w:rsidRPr="000A32A3">
        <w:rPr>
          <w:rFonts w:cs="Times New Roman"/>
        </w:rPr>
        <w:t>nos dois anos do intervalo.</w:t>
      </w:r>
    </w:p>
    <w:p w:rsidR="00E6048D" w:rsidRPr="000A32A3" w:rsidRDefault="00CD16EF">
      <w:pPr>
        <w:jc w:val="left"/>
        <w:rPr>
          <w:rFonts w:cs="Times New Roman"/>
          <w:b/>
        </w:rPr>
      </w:pPr>
      <w:r w:rsidRPr="000A32A3">
        <w:rPr>
          <w:rFonts w:cs="Times New Roman"/>
        </w:rPr>
        <w:t xml:space="preserve">Entre 2004 e 2008 a variação média do número de empregados foi de 20,1, com um aumento médio nominal de R$ 232,1 nos salários. O valor mínimo financiado foi de R$ 2 mil e o valor máximo de R$ 5,5 milhões, com um valor médio de R$ 179,7 mil. A maior parte das firmas é </w:t>
      </w:r>
      <w:r w:rsidRPr="000A32A3">
        <w:rPr>
          <w:rFonts w:cs="Times New Roman"/>
        </w:rPr>
        <w:lastRenderedPageBreak/>
        <w:t>de pequeno porte e a maioria dos financiamentos é da linha de Comércios e Serviços. Essa situação permanece no intervalo entre 2008 e 2011.</w:t>
      </w:r>
    </w:p>
    <w:p w:rsidR="001A1223" w:rsidRPr="000A32A3" w:rsidRDefault="001A1223">
      <w:pPr>
        <w:jc w:val="left"/>
        <w:rPr>
          <w:rFonts w:cs="Times New Roman"/>
          <w:b/>
        </w:rPr>
      </w:pPr>
    </w:p>
    <w:p w:rsidR="00CD16EF" w:rsidRPr="000A32A3" w:rsidRDefault="00CD16EF" w:rsidP="004002D0">
      <w:pPr>
        <w:spacing w:line="240" w:lineRule="auto"/>
        <w:jc w:val="left"/>
        <w:rPr>
          <w:rFonts w:cs="Times New Roman"/>
          <w:b/>
        </w:rPr>
      </w:pPr>
      <w:r w:rsidRPr="000A32A3">
        <w:rPr>
          <w:rFonts w:cs="Times New Roman"/>
          <w:b/>
        </w:rPr>
        <w:t xml:space="preserve">Tabela </w:t>
      </w:r>
      <w:r w:rsidR="0046037B" w:rsidRPr="000A32A3">
        <w:rPr>
          <w:rFonts w:cs="Times New Roman"/>
          <w:b/>
        </w:rPr>
        <w:t>2</w:t>
      </w:r>
      <w:r w:rsidRPr="000A32A3">
        <w:rPr>
          <w:rFonts w:cs="Times New Roman"/>
          <w:b/>
        </w:rPr>
        <w:t>: Estatística descritiva da amostra.</w:t>
      </w:r>
    </w:p>
    <w:tbl>
      <w:tblPr>
        <w:tblW w:w="5000" w:type="pct"/>
        <w:tblCellMar>
          <w:left w:w="70" w:type="dxa"/>
          <w:right w:w="70" w:type="dxa"/>
        </w:tblCellMar>
        <w:tblLook w:val="04A0" w:firstRow="1" w:lastRow="0" w:firstColumn="1" w:lastColumn="0" w:noHBand="0" w:noVBand="1"/>
      </w:tblPr>
      <w:tblGrid>
        <w:gridCol w:w="1631"/>
        <w:gridCol w:w="549"/>
        <w:gridCol w:w="809"/>
        <w:gridCol w:w="910"/>
        <w:gridCol w:w="763"/>
        <w:gridCol w:w="855"/>
        <w:gridCol w:w="549"/>
        <w:gridCol w:w="803"/>
        <w:gridCol w:w="877"/>
        <w:gridCol w:w="610"/>
        <w:gridCol w:w="855"/>
      </w:tblGrid>
      <w:tr w:rsidR="00CD16EF" w:rsidRPr="000A32A3" w:rsidTr="007B297C">
        <w:trPr>
          <w:trHeight w:val="300"/>
        </w:trPr>
        <w:tc>
          <w:tcPr>
            <w:tcW w:w="886"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Variável</w:t>
            </w:r>
          </w:p>
        </w:tc>
        <w:tc>
          <w:tcPr>
            <w:tcW w:w="298"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Obs.</w:t>
            </w:r>
          </w:p>
        </w:tc>
        <w:tc>
          <w:tcPr>
            <w:tcW w:w="439"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Média</w:t>
            </w:r>
          </w:p>
        </w:tc>
        <w:tc>
          <w:tcPr>
            <w:tcW w:w="494"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DP</w:t>
            </w:r>
          </w:p>
        </w:tc>
        <w:tc>
          <w:tcPr>
            <w:tcW w:w="414"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Mín</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Máx</w:t>
            </w:r>
          </w:p>
        </w:tc>
        <w:tc>
          <w:tcPr>
            <w:tcW w:w="298"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Obs.</w:t>
            </w:r>
          </w:p>
        </w:tc>
        <w:tc>
          <w:tcPr>
            <w:tcW w:w="436"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Média</w:t>
            </w:r>
          </w:p>
        </w:tc>
        <w:tc>
          <w:tcPr>
            <w:tcW w:w="476"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DP</w:t>
            </w:r>
          </w:p>
        </w:tc>
        <w:tc>
          <w:tcPr>
            <w:tcW w:w="331" w:type="pct"/>
            <w:tcBorders>
              <w:top w:val="single" w:sz="4" w:space="0" w:color="auto"/>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Mín</w:t>
            </w:r>
          </w:p>
        </w:tc>
        <w:tc>
          <w:tcPr>
            <w:tcW w:w="464" w:type="pct"/>
            <w:tcBorders>
              <w:top w:val="single" w:sz="4" w:space="0" w:color="auto"/>
              <w:left w:val="nil"/>
              <w:bottom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Máx</w:t>
            </w:r>
          </w:p>
        </w:tc>
      </w:tr>
      <w:tr w:rsidR="00CD16EF" w:rsidRPr="000A32A3" w:rsidTr="005C36C7">
        <w:trPr>
          <w:trHeight w:val="300"/>
        </w:trPr>
        <w:tc>
          <w:tcPr>
            <w:tcW w:w="886" w:type="pct"/>
            <w:vMerge/>
            <w:tcBorders>
              <w:top w:val="nil"/>
              <w:left w:val="nil"/>
              <w:bottom w:val="single" w:sz="4" w:space="0" w:color="000000"/>
              <w:right w:val="single" w:sz="4" w:space="0" w:color="auto"/>
            </w:tcBorders>
            <w:vAlign w:val="center"/>
            <w:hideMark/>
          </w:tcPr>
          <w:p w:rsidR="00CD16EF" w:rsidRPr="000A32A3" w:rsidRDefault="00CD16EF" w:rsidP="00982B81">
            <w:pPr>
              <w:spacing w:after="0" w:line="240" w:lineRule="auto"/>
              <w:rPr>
                <w:rFonts w:eastAsia="Times New Roman" w:cs="Times New Roman"/>
                <w:b/>
                <w:bCs/>
                <w:color w:val="000000"/>
                <w:sz w:val="20"/>
                <w:szCs w:val="20"/>
                <w:lang w:eastAsia="pt-BR"/>
              </w:rPr>
            </w:pPr>
          </w:p>
        </w:tc>
        <w:tc>
          <w:tcPr>
            <w:tcW w:w="2108" w:type="pct"/>
            <w:gridSpan w:val="5"/>
            <w:tcBorders>
              <w:top w:val="single" w:sz="4" w:space="0" w:color="auto"/>
              <w:left w:val="nil"/>
              <w:bottom w:val="single" w:sz="4" w:space="0" w:color="auto"/>
              <w:right w:val="single" w:sz="4" w:space="0" w:color="000000"/>
            </w:tcBorders>
            <w:shd w:val="clear" w:color="000000" w:fill="F2F2F2"/>
            <w:noWrap/>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2004 – 2008</w:t>
            </w:r>
          </w:p>
        </w:tc>
        <w:tc>
          <w:tcPr>
            <w:tcW w:w="2005" w:type="pct"/>
            <w:gridSpan w:val="5"/>
            <w:tcBorders>
              <w:top w:val="single" w:sz="4" w:space="0" w:color="auto"/>
              <w:left w:val="nil"/>
              <w:bottom w:val="single" w:sz="4" w:space="0" w:color="auto"/>
            </w:tcBorders>
            <w:shd w:val="clear" w:color="000000" w:fill="F2F2F2"/>
            <w:noWrap/>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2008 - 2011</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FCO (ano base)</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117</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179791</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626989</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2025</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5581940</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774</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111478</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433780</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4000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6635785</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N</w:t>
            </w:r>
            <w:r w:rsidRPr="000A32A3">
              <w:rPr>
                <w:rFonts w:eastAsia="Times New Roman" w:cs="Times New Roman"/>
                <w:color w:val="000000"/>
                <w:sz w:val="20"/>
                <w:szCs w:val="20"/>
                <w:vertAlign w:val="superscript"/>
                <w:lang w:eastAsia="pt-BR"/>
              </w:rPr>
              <w:t>o</w:t>
            </w:r>
            <w:r w:rsidRPr="000A32A3">
              <w:rPr>
                <w:rFonts w:eastAsia="Times New Roman" w:cs="Times New Roman"/>
                <w:color w:val="000000"/>
                <w:sz w:val="20"/>
                <w:szCs w:val="20"/>
                <w:lang w:eastAsia="pt-BR"/>
              </w:rPr>
              <w:t xml:space="preserve"> empregados</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22,865</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118,714</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4065</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23,170</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91,472</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3953</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Variação emprego</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117</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20,111</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168,574</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-41</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1811</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774</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2,641</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26,255</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-77</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638</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N</w:t>
            </w:r>
            <w:r w:rsidRPr="000A32A3">
              <w:rPr>
                <w:rFonts w:eastAsia="Times New Roman" w:cs="Times New Roman"/>
                <w:color w:val="000000"/>
                <w:sz w:val="20"/>
                <w:szCs w:val="20"/>
                <w:vertAlign w:val="superscript"/>
                <w:lang w:eastAsia="pt-BR"/>
              </w:rPr>
              <w:t>o</w:t>
            </w:r>
            <w:r w:rsidRPr="000A32A3">
              <w:rPr>
                <w:rFonts w:eastAsia="Times New Roman" w:cs="Times New Roman"/>
                <w:color w:val="000000"/>
                <w:sz w:val="20"/>
                <w:szCs w:val="20"/>
                <w:lang w:eastAsia="pt-BR"/>
              </w:rPr>
              <w:t xml:space="preserve"> empreg. qualif.</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0,928</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6,050</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138</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0,978</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5,505</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147</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Salário médio</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640,005</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281,733</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4817</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840,478</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322,054</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5995</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Var. salário médio</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117</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232,188</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224,265</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-413,78</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1503,4</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774</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217,973</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255,163</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-3791</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2164</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Prog. Com. e Ser.</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0,646</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0,478</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0,561</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0,496</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Prog. Des. Indust.</w:t>
            </w:r>
          </w:p>
        </w:tc>
        <w:tc>
          <w:tcPr>
            <w:tcW w:w="298"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0,285</w:t>
            </w:r>
          </w:p>
        </w:tc>
        <w:tc>
          <w:tcPr>
            <w:tcW w:w="494"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0,452</w:t>
            </w:r>
          </w:p>
        </w:tc>
        <w:tc>
          <w:tcPr>
            <w:tcW w:w="414"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0,344</w:t>
            </w:r>
          </w:p>
        </w:tc>
        <w:tc>
          <w:tcPr>
            <w:tcW w:w="476"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0,475</w:t>
            </w:r>
          </w:p>
        </w:tc>
        <w:tc>
          <w:tcPr>
            <w:tcW w:w="331"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Prog. Turismo</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0,068</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0,252</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0,095</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0,293</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Micro porte</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0,130</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0,337</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0,048</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0,213</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Pequeno porte</w:t>
            </w:r>
          </w:p>
        </w:tc>
        <w:tc>
          <w:tcPr>
            <w:tcW w:w="298"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0,808</w:t>
            </w:r>
          </w:p>
        </w:tc>
        <w:tc>
          <w:tcPr>
            <w:tcW w:w="494"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0,394</w:t>
            </w:r>
          </w:p>
        </w:tc>
        <w:tc>
          <w:tcPr>
            <w:tcW w:w="414"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0,827</w:t>
            </w:r>
          </w:p>
        </w:tc>
        <w:tc>
          <w:tcPr>
            <w:tcW w:w="476"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0,378</w:t>
            </w:r>
          </w:p>
        </w:tc>
        <w:tc>
          <w:tcPr>
            <w:tcW w:w="331"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Médio porte</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0,051</w:t>
            </w:r>
          </w:p>
        </w:tc>
        <w:tc>
          <w:tcPr>
            <w:tcW w:w="49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0,221</w:t>
            </w:r>
          </w:p>
        </w:tc>
        <w:tc>
          <w:tcPr>
            <w:tcW w:w="41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0,113</w:t>
            </w:r>
          </w:p>
        </w:tc>
        <w:tc>
          <w:tcPr>
            <w:tcW w:w="476"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0,316</w:t>
            </w:r>
          </w:p>
        </w:tc>
        <w:tc>
          <w:tcPr>
            <w:tcW w:w="331"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r w:rsidR="00CD16EF" w:rsidRPr="000A32A3" w:rsidTr="005C36C7">
        <w:trPr>
          <w:trHeight w:val="300"/>
        </w:trPr>
        <w:tc>
          <w:tcPr>
            <w:tcW w:w="886" w:type="pct"/>
            <w:tcBorders>
              <w:top w:val="nil"/>
              <w:left w:val="nil"/>
              <w:bottom w:val="single" w:sz="4" w:space="0" w:color="auto"/>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Grande porte</w:t>
            </w:r>
          </w:p>
        </w:tc>
        <w:tc>
          <w:tcPr>
            <w:tcW w:w="298"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2298</w:t>
            </w:r>
          </w:p>
        </w:tc>
        <w:tc>
          <w:tcPr>
            <w:tcW w:w="439"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0,010</w:t>
            </w:r>
          </w:p>
        </w:tc>
        <w:tc>
          <w:tcPr>
            <w:tcW w:w="494"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0,102</w:t>
            </w:r>
          </w:p>
        </w:tc>
        <w:tc>
          <w:tcPr>
            <w:tcW w:w="414"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single" w:sz="4" w:space="0" w:color="auto"/>
              <w:right w:val="single" w:sz="4" w:space="0" w:color="auto"/>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c>
          <w:tcPr>
            <w:tcW w:w="298"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5367</w:t>
            </w:r>
          </w:p>
        </w:tc>
        <w:tc>
          <w:tcPr>
            <w:tcW w:w="436"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0,013</w:t>
            </w:r>
          </w:p>
        </w:tc>
        <w:tc>
          <w:tcPr>
            <w:tcW w:w="476"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0,113</w:t>
            </w:r>
          </w:p>
        </w:tc>
        <w:tc>
          <w:tcPr>
            <w:tcW w:w="331"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w:t>
            </w:r>
          </w:p>
        </w:tc>
        <w:tc>
          <w:tcPr>
            <w:tcW w:w="464"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w:t>
            </w:r>
          </w:p>
        </w:tc>
      </w:tr>
    </w:tbl>
    <w:p w:rsidR="00CD16EF" w:rsidRPr="000A32A3" w:rsidRDefault="00CD16EF" w:rsidP="00982B81">
      <w:pPr>
        <w:spacing w:after="0" w:line="240" w:lineRule="auto"/>
        <w:rPr>
          <w:rFonts w:cs="Times New Roman"/>
          <w:sz w:val="18"/>
        </w:rPr>
      </w:pPr>
      <w:r w:rsidRPr="000A32A3">
        <w:rPr>
          <w:rFonts w:cs="Times New Roman"/>
          <w:sz w:val="18"/>
        </w:rPr>
        <w:t xml:space="preserve">Fonte: </w:t>
      </w:r>
      <w:r w:rsidR="007B297C" w:rsidRPr="000A32A3">
        <w:rPr>
          <w:rFonts w:cs="Times New Roman"/>
          <w:sz w:val="18"/>
        </w:rPr>
        <w:t>Rais</w:t>
      </w:r>
      <w:r w:rsidRPr="000A32A3">
        <w:rPr>
          <w:rFonts w:cs="Times New Roman"/>
          <w:sz w:val="18"/>
        </w:rPr>
        <w:t xml:space="preserve"> e informações gerenciais do BB. </w:t>
      </w:r>
    </w:p>
    <w:p w:rsidR="00CD16EF" w:rsidRPr="000A32A3" w:rsidRDefault="00CD16EF" w:rsidP="00053140">
      <w:pPr>
        <w:spacing w:after="0" w:line="240" w:lineRule="auto"/>
        <w:rPr>
          <w:rFonts w:cs="Times New Roman"/>
          <w:sz w:val="18"/>
        </w:rPr>
      </w:pPr>
      <w:r w:rsidRPr="000A32A3">
        <w:rPr>
          <w:rFonts w:cs="Times New Roman"/>
          <w:sz w:val="18"/>
        </w:rPr>
        <w:t>Elaboração: autor.</w:t>
      </w:r>
    </w:p>
    <w:p w:rsidR="001A1223" w:rsidRPr="000A32A3" w:rsidRDefault="001A1223" w:rsidP="00053140">
      <w:pPr>
        <w:spacing w:after="0" w:line="240" w:lineRule="auto"/>
        <w:rPr>
          <w:rFonts w:cs="Times New Roman"/>
          <w:sz w:val="18"/>
        </w:rPr>
      </w:pPr>
    </w:p>
    <w:p w:rsidR="001A1223" w:rsidRPr="000A32A3" w:rsidRDefault="001A1223" w:rsidP="00053140">
      <w:pPr>
        <w:spacing w:after="0" w:line="240" w:lineRule="auto"/>
        <w:rPr>
          <w:rFonts w:cs="Times New Roman"/>
          <w:sz w:val="18"/>
        </w:rPr>
      </w:pPr>
    </w:p>
    <w:p w:rsidR="00CD16EF" w:rsidRPr="000A32A3" w:rsidRDefault="00685A84" w:rsidP="008422D2">
      <w:pPr>
        <w:pStyle w:val="Ttulo1"/>
        <w:numPr>
          <w:ilvl w:val="0"/>
          <w:numId w:val="17"/>
        </w:numPr>
        <w:spacing w:before="120" w:line="240" w:lineRule="auto"/>
        <w:rPr>
          <w:rFonts w:cs="Times New Roman"/>
        </w:rPr>
      </w:pPr>
      <w:bookmarkStart w:id="7" w:name="_Toc445241614"/>
      <w:r w:rsidRPr="000A32A3">
        <w:rPr>
          <w:rFonts w:cs="Times New Roman"/>
        </w:rPr>
        <w:t>Resultados</w:t>
      </w:r>
      <w:bookmarkEnd w:id="7"/>
      <w:r w:rsidRPr="000A32A3">
        <w:rPr>
          <w:rFonts w:cs="Times New Roman"/>
        </w:rPr>
        <w:t xml:space="preserve"> </w:t>
      </w:r>
    </w:p>
    <w:p w:rsidR="004002D0" w:rsidRPr="000A32A3" w:rsidRDefault="00CD16EF" w:rsidP="008422D2">
      <w:pPr>
        <w:pStyle w:val="Ttulo1"/>
        <w:numPr>
          <w:ilvl w:val="1"/>
          <w:numId w:val="17"/>
        </w:numPr>
        <w:spacing w:before="120" w:line="240" w:lineRule="auto"/>
        <w:rPr>
          <w:rFonts w:cs="Times New Roman"/>
        </w:rPr>
      </w:pPr>
      <w:bookmarkStart w:id="8" w:name="_Toc445241615"/>
      <w:r w:rsidRPr="000A32A3">
        <w:rPr>
          <w:rFonts w:cs="Times New Roman"/>
        </w:rPr>
        <w:t>Primeiro estágio</w:t>
      </w:r>
      <w:bookmarkEnd w:id="8"/>
    </w:p>
    <w:p w:rsidR="001A1223" w:rsidRPr="000A32A3" w:rsidRDefault="001A1223" w:rsidP="008422D2"/>
    <w:p w:rsidR="00CD16EF" w:rsidRPr="000A32A3" w:rsidRDefault="00CD16EF" w:rsidP="00982B81">
      <w:pPr>
        <w:spacing w:after="120" w:line="240" w:lineRule="auto"/>
        <w:ind w:firstLine="708"/>
        <w:rPr>
          <w:rFonts w:cs="Times New Roman"/>
        </w:rPr>
      </w:pPr>
      <w:r w:rsidRPr="000A32A3">
        <w:rPr>
          <w:rFonts w:cs="Times New Roman"/>
        </w:rPr>
        <w:t xml:space="preserve">O primeiro estágio computa os escores de eficiência encontrados pelo estimador de ordem-m para diferentes modelos com orientação insumo. Ao total são analisados três modelos, um que adota a variação do emprego como produto, outro a variação de salários e outro com dois produtos, variação de empregos e variação de salários </w:t>
      </w:r>
      <w:r w:rsidR="004554EB" w:rsidRPr="000A32A3">
        <w:rPr>
          <w:rFonts w:cs="Times New Roman"/>
        </w:rPr>
        <w:t>simultanea</w:t>
      </w:r>
      <w:r w:rsidRPr="000A32A3">
        <w:rPr>
          <w:rFonts w:cs="Times New Roman"/>
        </w:rPr>
        <w:t xml:space="preserve">mente. Apesar da análise de eficiência da fronteira de ordem-m ser robusta a </w:t>
      </w:r>
      <w:r w:rsidRPr="000A32A3">
        <w:rPr>
          <w:rFonts w:cs="Times New Roman"/>
          <w:i/>
        </w:rPr>
        <w:t>outliers</w:t>
      </w:r>
      <w:r w:rsidRPr="000A32A3">
        <w:rPr>
          <w:rFonts w:cs="Times New Roman"/>
        </w:rPr>
        <w:t>, seus resultados são semelhantes aos verificados pelo método DEA</w:t>
      </w:r>
      <w:r w:rsidRPr="000A32A3">
        <w:rPr>
          <w:rStyle w:val="Refdenotaderodap"/>
          <w:rFonts w:cs="Times New Roman"/>
        </w:rPr>
        <w:footnoteReference w:id="8"/>
      </w:r>
      <w:r w:rsidRPr="000A32A3">
        <w:rPr>
          <w:rFonts w:cs="Times New Roman"/>
        </w:rPr>
        <w:t xml:space="preserve">, portanto, são apresentados apenas os resultados referentes à primeira metodologia. </w:t>
      </w:r>
    </w:p>
    <w:p w:rsidR="00CD16EF" w:rsidRPr="000A32A3" w:rsidRDefault="00CD16EF" w:rsidP="00982B81">
      <w:pPr>
        <w:spacing w:after="120" w:line="240" w:lineRule="auto"/>
        <w:ind w:firstLine="708"/>
        <w:rPr>
          <w:rFonts w:cs="Times New Roman"/>
        </w:rPr>
      </w:pPr>
      <w:r w:rsidRPr="000A32A3">
        <w:rPr>
          <w:rFonts w:cs="Times New Roman"/>
        </w:rPr>
        <w:t xml:space="preserve">Ressalta-se que uma pequena parte das empresas teve queda no emprego e no salário entre os períodos examinados. Como os modelos DEA excluem as observações de produtos negativos, estas empresas foram desconsideradas da análise. </w:t>
      </w:r>
    </w:p>
    <w:p w:rsidR="004002D0" w:rsidRPr="000A32A3" w:rsidRDefault="007B297C" w:rsidP="004002D0">
      <w:pPr>
        <w:spacing w:after="120" w:line="240" w:lineRule="auto"/>
        <w:ind w:firstLine="708"/>
        <w:rPr>
          <w:rFonts w:cs="Times New Roman"/>
        </w:rPr>
      </w:pPr>
      <w:r w:rsidRPr="000A32A3">
        <w:rPr>
          <w:rFonts w:cs="Times New Roman"/>
        </w:rPr>
        <w:t>A figura</w:t>
      </w:r>
      <w:r w:rsidR="00CD16EF" w:rsidRPr="000A32A3">
        <w:rPr>
          <w:rFonts w:cs="Times New Roman"/>
        </w:rPr>
        <w:t xml:space="preserve"> 1 apresenta os histogramas dos escores obtidos. Em todos os casos, percebe-se uma assimetria na distribuição, o que leva a diferentes possibilidades de estimação no segundo estágio, as quais são justificadas oportunamente.</w:t>
      </w:r>
    </w:p>
    <w:p w:rsidR="00CD16EF" w:rsidRPr="000A32A3" w:rsidRDefault="00CD16EF" w:rsidP="00982B81">
      <w:pPr>
        <w:spacing w:line="240" w:lineRule="auto"/>
        <w:rPr>
          <w:rFonts w:cs="Times New Roman"/>
          <w:b/>
        </w:rPr>
      </w:pPr>
      <w:r w:rsidRPr="000A32A3">
        <w:rPr>
          <w:rFonts w:cs="Times New Roman"/>
          <w:b/>
        </w:rPr>
        <w:lastRenderedPageBreak/>
        <w:t xml:space="preserve">Figura 1: Histograma dos escores de eficiência de ordem-m – por período e variável. </w:t>
      </w:r>
    </w:p>
    <w:p w:rsidR="00CD16EF" w:rsidRPr="000A32A3" w:rsidRDefault="00CD16EF" w:rsidP="00982B81">
      <w:pPr>
        <w:spacing w:after="0" w:line="240" w:lineRule="auto"/>
        <w:rPr>
          <w:rFonts w:cs="Times New Roman"/>
          <w:sz w:val="20"/>
        </w:rPr>
      </w:pPr>
      <w:r w:rsidRPr="000A32A3">
        <w:rPr>
          <w:rFonts w:cs="Times New Roman"/>
          <w:noProof/>
          <w:lang w:eastAsia="pt-BR"/>
        </w:rPr>
        <w:drawing>
          <wp:inline distT="0" distB="0" distL="0" distR="0" wp14:anchorId="00D8DC50" wp14:editId="1A8894E6">
            <wp:extent cx="5730875" cy="6369050"/>
            <wp:effectExtent l="0" t="0" r="3175" b="0"/>
            <wp:docPr id="9" name="Imagem 9" descr="C:\Users\Felipe\Dropbox\EFICIÊNCIA\Base e results\Gráficos\Todos 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ropbox\EFICIÊNCIA\Base e results\Gráficos\Todos nov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6369050"/>
                    </a:xfrm>
                    <a:prstGeom prst="rect">
                      <a:avLst/>
                    </a:prstGeom>
                    <a:noFill/>
                    <a:ln>
                      <a:noFill/>
                    </a:ln>
                  </pic:spPr>
                </pic:pic>
              </a:graphicData>
            </a:graphic>
          </wp:inline>
        </w:drawing>
      </w:r>
    </w:p>
    <w:p w:rsidR="00CD16EF" w:rsidRPr="000A32A3" w:rsidRDefault="00CD16EF" w:rsidP="00982B81">
      <w:pPr>
        <w:spacing w:after="0" w:line="240" w:lineRule="auto"/>
        <w:rPr>
          <w:rFonts w:cs="Times New Roman"/>
          <w:sz w:val="20"/>
        </w:rPr>
      </w:pPr>
      <w:r w:rsidRPr="000A32A3">
        <w:rPr>
          <w:rFonts w:cs="Times New Roman"/>
          <w:sz w:val="18"/>
        </w:rPr>
        <w:t>Elaboração: autor.</w:t>
      </w:r>
    </w:p>
    <w:p w:rsidR="00CD16EF" w:rsidRPr="000A32A3" w:rsidRDefault="00CD16EF" w:rsidP="00982B81">
      <w:pPr>
        <w:spacing w:line="240" w:lineRule="auto"/>
        <w:rPr>
          <w:rFonts w:cs="Times New Roman"/>
        </w:rPr>
      </w:pPr>
    </w:p>
    <w:p w:rsidR="00CD16EF" w:rsidRPr="000A32A3" w:rsidRDefault="00CD16EF" w:rsidP="00982B81">
      <w:pPr>
        <w:spacing w:after="120" w:line="240" w:lineRule="auto"/>
        <w:ind w:firstLine="708"/>
        <w:rPr>
          <w:rFonts w:cs="Times New Roman"/>
        </w:rPr>
      </w:pPr>
      <w:r w:rsidRPr="000A32A3">
        <w:rPr>
          <w:rFonts w:cs="Times New Roman"/>
        </w:rPr>
        <w:t>Os gráficos revelam substancial variabilidade na eficiência alocativa dos empréstimos. Assim, os resultados sugerem que há oportunidade para elevar o número de empregos e incrementar a produtividade com o melhor aproveitamento dos recursos disponíveis. De outro modo, os es</w:t>
      </w:r>
      <w:r w:rsidR="004554EB" w:rsidRPr="000A32A3">
        <w:rPr>
          <w:rFonts w:cs="Times New Roman"/>
        </w:rPr>
        <w:t>cores abaixo do</w:t>
      </w:r>
      <w:r w:rsidR="007B297C" w:rsidRPr="000A32A3">
        <w:rPr>
          <w:rFonts w:cs="Times New Roman"/>
        </w:rPr>
        <w:t>s escores das DMUs eficientes</w:t>
      </w:r>
      <w:r w:rsidR="00134677" w:rsidRPr="000A32A3">
        <w:rPr>
          <w:rFonts w:cs="Times New Roman"/>
        </w:rPr>
        <w:t xml:space="preserve"> (referência)</w:t>
      </w:r>
      <w:r w:rsidR="007B297C" w:rsidRPr="000A32A3">
        <w:rPr>
          <w:rFonts w:cs="Times New Roman"/>
        </w:rPr>
        <w:t xml:space="preserve"> </w:t>
      </w:r>
      <w:r w:rsidRPr="000A32A3">
        <w:rPr>
          <w:rFonts w:cs="Times New Roman"/>
        </w:rPr>
        <w:t xml:space="preserve">indicam que </w:t>
      </w:r>
      <w:r w:rsidR="00616C94" w:rsidRPr="000A32A3">
        <w:rPr>
          <w:rFonts w:cs="Times New Roman"/>
        </w:rPr>
        <w:t>a</w:t>
      </w:r>
      <w:r w:rsidRPr="000A32A3">
        <w:rPr>
          <w:rFonts w:cs="Times New Roman"/>
        </w:rPr>
        <w:t xml:space="preserve">s unidades têm espaço para reduzir sua ineficiência. </w:t>
      </w:r>
    </w:p>
    <w:p w:rsidR="00CD16EF" w:rsidRPr="000A32A3" w:rsidRDefault="00CD16EF" w:rsidP="00982B81">
      <w:pPr>
        <w:spacing w:after="120" w:line="240" w:lineRule="auto"/>
        <w:ind w:firstLine="708"/>
        <w:rPr>
          <w:rFonts w:cs="Times New Roman"/>
        </w:rPr>
      </w:pPr>
      <w:r w:rsidRPr="000A32A3">
        <w:rPr>
          <w:rFonts w:cs="Times New Roman"/>
        </w:rPr>
        <w:t xml:space="preserve">Oliveira, Menezes e Resende (2015) mostram que os impactos do FCO no </w:t>
      </w:r>
      <w:r w:rsidR="00C41217" w:rsidRPr="000A32A3">
        <w:rPr>
          <w:rFonts w:cs="Times New Roman"/>
        </w:rPr>
        <w:t>Estado</w:t>
      </w:r>
      <w:r w:rsidRPr="000A32A3">
        <w:rPr>
          <w:rFonts w:cs="Times New Roman"/>
        </w:rPr>
        <w:t xml:space="preserve"> de Goiás dependem do período e da variável analisada. O estudo aponta que as firmas </w:t>
      </w:r>
      <w:r w:rsidRPr="000A32A3">
        <w:rPr>
          <w:rFonts w:cs="Times New Roman"/>
        </w:rPr>
        <w:lastRenderedPageBreak/>
        <w:t>beneficiadas tiveram um aumento de salário médio</w:t>
      </w:r>
      <w:r w:rsidR="007A1C3C" w:rsidRPr="000A32A3">
        <w:rPr>
          <w:rFonts w:cs="Times New Roman"/>
        </w:rPr>
        <w:t>,</w:t>
      </w:r>
      <w:r w:rsidRPr="000A32A3">
        <w:rPr>
          <w:rFonts w:cs="Times New Roman"/>
        </w:rPr>
        <w:t xml:space="preserve"> entre 2004 e 2008</w:t>
      </w:r>
      <w:r w:rsidR="007A1C3C" w:rsidRPr="000A32A3">
        <w:rPr>
          <w:rFonts w:cs="Times New Roman"/>
        </w:rPr>
        <w:t>, maior que as não financiadas</w:t>
      </w:r>
      <w:r w:rsidRPr="000A32A3">
        <w:rPr>
          <w:rFonts w:cs="Times New Roman"/>
        </w:rPr>
        <w:t xml:space="preserve">, apesar </w:t>
      </w:r>
      <w:r w:rsidR="007A1C3C" w:rsidRPr="000A32A3">
        <w:rPr>
          <w:rFonts w:cs="Times New Roman"/>
        </w:rPr>
        <w:t>do efeito nulo</w:t>
      </w:r>
      <w:r w:rsidRPr="000A32A3">
        <w:rPr>
          <w:rFonts w:cs="Times New Roman"/>
        </w:rPr>
        <w:t xml:space="preserve"> entre 2008 e 2011. A figura acima revela que o mesmo ocorre com os </w:t>
      </w:r>
      <w:r w:rsidR="007A1C3C" w:rsidRPr="000A32A3">
        <w:rPr>
          <w:rFonts w:cs="Times New Roman"/>
        </w:rPr>
        <w:t>escores de eficiência, isto é,</w:t>
      </w:r>
      <w:r w:rsidRPr="000A32A3">
        <w:rPr>
          <w:rFonts w:cs="Times New Roman"/>
        </w:rPr>
        <w:t xml:space="preserve"> os resultados variam conforme a variável e período. Assim, na análise dos resultados, as empresas foram classificadas por porte e linhas de financiamentos, abordagem que leva em conta as diretrizes do fundo.</w:t>
      </w:r>
    </w:p>
    <w:p w:rsidR="00CD16EF" w:rsidRPr="000A32A3" w:rsidRDefault="00CD16EF" w:rsidP="00982B81">
      <w:pPr>
        <w:spacing w:line="240" w:lineRule="auto"/>
        <w:rPr>
          <w:rFonts w:cs="Times New Roman"/>
          <w:szCs w:val="24"/>
        </w:rPr>
      </w:pPr>
    </w:p>
    <w:p w:rsidR="00CD16EF" w:rsidRPr="000A32A3" w:rsidRDefault="0046037B" w:rsidP="00982B81">
      <w:pPr>
        <w:spacing w:line="240" w:lineRule="auto"/>
        <w:rPr>
          <w:rFonts w:eastAsia="Times New Roman" w:cs="Times New Roman"/>
          <w:b/>
          <w:bCs/>
          <w:color w:val="000000"/>
          <w:sz w:val="20"/>
          <w:szCs w:val="20"/>
          <w:lang w:eastAsia="pt-BR"/>
        </w:rPr>
      </w:pPr>
      <w:r w:rsidRPr="000A32A3">
        <w:rPr>
          <w:rFonts w:cs="Times New Roman"/>
          <w:b/>
        </w:rPr>
        <w:t>Tabela 3</w:t>
      </w:r>
      <w:r w:rsidR="00CD16EF" w:rsidRPr="000A32A3">
        <w:rPr>
          <w:rFonts w:cs="Times New Roman"/>
          <w:b/>
        </w:rPr>
        <w:t>: Média dos escores de eficiência obtidos via ordem-m, por porte e linha de financiamento</w:t>
      </w:r>
    </w:p>
    <w:tbl>
      <w:tblPr>
        <w:tblW w:w="5413" w:type="pct"/>
        <w:tblInd w:w="-214" w:type="dxa"/>
        <w:tblCellMar>
          <w:left w:w="70" w:type="dxa"/>
          <w:right w:w="70" w:type="dxa"/>
        </w:tblCellMar>
        <w:tblLook w:val="04A0" w:firstRow="1" w:lastRow="0" w:firstColumn="1" w:lastColumn="0" w:noHBand="0" w:noVBand="1"/>
      </w:tblPr>
      <w:tblGrid>
        <w:gridCol w:w="1695"/>
        <w:gridCol w:w="1363"/>
        <w:gridCol w:w="929"/>
        <w:gridCol w:w="752"/>
        <w:gridCol w:w="1107"/>
        <w:gridCol w:w="1363"/>
        <w:gridCol w:w="929"/>
        <w:gridCol w:w="752"/>
        <w:gridCol w:w="1082"/>
      </w:tblGrid>
      <w:tr w:rsidR="00CD16EF" w:rsidRPr="000A32A3" w:rsidTr="005C36C7">
        <w:trPr>
          <w:trHeight w:val="300"/>
        </w:trPr>
        <w:tc>
          <w:tcPr>
            <w:tcW w:w="847" w:type="pct"/>
            <w:tcBorders>
              <w:top w:val="single" w:sz="4" w:space="0" w:color="auto"/>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 </w:t>
            </w:r>
          </w:p>
        </w:tc>
        <w:tc>
          <w:tcPr>
            <w:tcW w:w="2082"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2004 - 2008</w:t>
            </w:r>
          </w:p>
        </w:tc>
        <w:tc>
          <w:tcPr>
            <w:tcW w:w="2071" w:type="pct"/>
            <w:gridSpan w:val="4"/>
            <w:tcBorders>
              <w:top w:val="single" w:sz="4" w:space="0" w:color="auto"/>
              <w:left w:val="nil"/>
              <w:bottom w:val="single" w:sz="4" w:space="0" w:color="auto"/>
              <w:right w:val="nil"/>
            </w:tcBorders>
            <w:shd w:val="clear" w:color="000000" w:fill="FFFFFF"/>
            <w:noWrap/>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2008 – 2011</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 </w:t>
            </w:r>
          </w:p>
        </w:tc>
        <w:tc>
          <w:tcPr>
            <w:tcW w:w="678" w:type="pct"/>
            <w:vMerge w:val="restart"/>
            <w:tcBorders>
              <w:top w:val="nil"/>
              <w:left w:val="single" w:sz="4" w:space="0" w:color="auto"/>
              <w:bottom w:val="single" w:sz="4" w:space="0" w:color="000000"/>
              <w:right w:val="single" w:sz="4" w:space="0" w:color="auto"/>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Valor médio financiamento</w:t>
            </w:r>
          </w:p>
        </w:tc>
        <w:tc>
          <w:tcPr>
            <w:tcW w:w="1404"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Eficiência média</w:t>
            </w:r>
          </w:p>
        </w:tc>
        <w:tc>
          <w:tcPr>
            <w:tcW w:w="678" w:type="pct"/>
            <w:vMerge w:val="restart"/>
            <w:tcBorders>
              <w:top w:val="nil"/>
              <w:left w:val="single" w:sz="4" w:space="0" w:color="auto"/>
              <w:bottom w:val="single" w:sz="4" w:space="0" w:color="000000"/>
              <w:right w:val="single" w:sz="4" w:space="0" w:color="auto"/>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Valor médio financiamento</w:t>
            </w:r>
          </w:p>
        </w:tc>
        <w:tc>
          <w:tcPr>
            <w:tcW w:w="1393" w:type="pct"/>
            <w:gridSpan w:val="3"/>
            <w:tcBorders>
              <w:top w:val="single" w:sz="4" w:space="0" w:color="auto"/>
              <w:left w:val="nil"/>
              <w:bottom w:val="single" w:sz="4" w:space="0" w:color="auto"/>
              <w:right w:val="nil"/>
            </w:tcBorders>
            <w:shd w:val="clear" w:color="000000" w:fill="FFFFFF"/>
            <w:vAlign w:val="bottom"/>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Eficiência média</w:t>
            </w:r>
          </w:p>
        </w:tc>
      </w:tr>
      <w:tr w:rsidR="00CD16EF" w:rsidRPr="000A32A3" w:rsidTr="005C36C7">
        <w:trPr>
          <w:trHeight w:val="630"/>
        </w:trPr>
        <w:tc>
          <w:tcPr>
            <w:tcW w:w="847" w:type="pct"/>
            <w:tcBorders>
              <w:top w:val="nil"/>
              <w:left w:val="nil"/>
              <w:bottom w:val="single" w:sz="4" w:space="0" w:color="auto"/>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 </w:t>
            </w:r>
          </w:p>
        </w:tc>
        <w:tc>
          <w:tcPr>
            <w:tcW w:w="678" w:type="pct"/>
            <w:vMerge/>
            <w:tcBorders>
              <w:top w:val="nil"/>
              <w:left w:val="single" w:sz="4" w:space="0" w:color="auto"/>
              <w:bottom w:val="single" w:sz="4" w:space="0" w:color="000000"/>
              <w:right w:val="single" w:sz="4" w:space="0" w:color="auto"/>
            </w:tcBorders>
            <w:vAlign w:val="center"/>
            <w:hideMark/>
          </w:tcPr>
          <w:p w:rsidR="00CD16EF" w:rsidRPr="000A32A3" w:rsidRDefault="00CD16EF" w:rsidP="00982B81">
            <w:pPr>
              <w:spacing w:after="0" w:line="240" w:lineRule="auto"/>
              <w:rPr>
                <w:rFonts w:eastAsia="Times New Roman" w:cs="Times New Roman"/>
                <w:b/>
                <w:bCs/>
                <w:color w:val="000000"/>
                <w:sz w:val="20"/>
                <w:szCs w:val="20"/>
                <w:lang w:eastAsia="pt-BR"/>
              </w:rPr>
            </w:pPr>
          </w:p>
        </w:tc>
        <w:tc>
          <w:tcPr>
            <w:tcW w:w="444" w:type="pct"/>
            <w:tcBorders>
              <w:top w:val="nil"/>
              <w:left w:val="nil"/>
              <w:bottom w:val="single" w:sz="4" w:space="0" w:color="auto"/>
              <w:right w:val="nil"/>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Variação Emprego</w:t>
            </w:r>
          </w:p>
        </w:tc>
        <w:tc>
          <w:tcPr>
            <w:tcW w:w="357" w:type="pct"/>
            <w:tcBorders>
              <w:top w:val="nil"/>
              <w:left w:val="nil"/>
              <w:bottom w:val="single" w:sz="4" w:space="0" w:color="auto"/>
              <w:right w:val="nil"/>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 Salário</w:t>
            </w:r>
          </w:p>
        </w:tc>
        <w:tc>
          <w:tcPr>
            <w:tcW w:w="603" w:type="pct"/>
            <w:tcBorders>
              <w:top w:val="nil"/>
              <w:left w:val="nil"/>
              <w:bottom w:val="single" w:sz="4" w:space="0" w:color="auto"/>
              <w:right w:val="single" w:sz="4" w:space="0" w:color="auto"/>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 Emprego e v. salário</w:t>
            </w:r>
          </w:p>
        </w:tc>
        <w:tc>
          <w:tcPr>
            <w:tcW w:w="678" w:type="pct"/>
            <w:vMerge/>
            <w:tcBorders>
              <w:top w:val="nil"/>
              <w:left w:val="single" w:sz="4" w:space="0" w:color="auto"/>
              <w:bottom w:val="single" w:sz="4" w:space="0" w:color="000000"/>
              <w:right w:val="single" w:sz="4" w:space="0" w:color="auto"/>
            </w:tcBorders>
            <w:vAlign w:val="center"/>
            <w:hideMark/>
          </w:tcPr>
          <w:p w:rsidR="00CD16EF" w:rsidRPr="000A32A3" w:rsidRDefault="00CD16EF" w:rsidP="00982B81">
            <w:pPr>
              <w:spacing w:after="0" w:line="240" w:lineRule="auto"/>
              <w:rPr>
                <w:rFonts w:eastAsia="Times New Roman" w:cs="Times New Roman"/>
                <w:b/>
                <w:bCs/>
                <w:color w:val="000000"/>
                <w:sz w:val="20"/>
                <w:szCs w:val="20"/>
                <w:lang w:eastAsia="pt-BR"/>
              </w:rPr>
            </w:pPr>
          </w:p>
        </w:tc>
        <w:tc>
          <w:tcPr>
            <w:tcW w:w="445" w:type="pct"/>
            <w:tcBorders>
              <w:top w:val="nil"/>
              <w:left w:val="nil"/>
              <w:bottom w:val="single" w:sz="4" w:space="0" w:color="auto"/>
              <w:right w:val="nil"/>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 Emprego</w:t>
            </w:r>
          </w:p>
        </w:tc>
        <w:tc>
          <w:tcPr>
            <w:tcW w:w="358" w:type="pct"/>
            <w:tcBorders>
              <w:top w:val="nil"/>
              <w:left w:val="nil"/>
              <w:bottom w:val="single" w:sz="4" w:space="0" w:color="auto"/>
              <w:right w:val="nil"/>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 Salário</w:t>
            </w:r>
          </w:p>
        </w:tc>
        <w:tc>
          <w:tcPr>
            <w:tcW w:w="590" w:type="pct"/>
            <w:tcBorders>
              <w:top w:val="nil"/>
              <w:left w:val="nil"/>
              <w:bottom w:val="single" w:sz="4" w:space="0" w:color="auto"/>
              <w:right w:val="nil"/>
            </w:tcBorders>
            <w:shd w:val="clear" w:color="000000" w:fill="F2F2F2"/>
            <w:vAlign w:val="center"/>
            <w:hideMark/>
          </w:tcPr>
          <w:p w:rsidR="00CD16EF" w:rsidRPr="000A32A3" w:rsidRDefault="00CD16EF" w:rsidP="00982B81">
            <w:pPr>
              <w:spacing w:after="0" w:line="240" w:lineRule="auto"/>
              <w:jc w:val="center"/>
              <w:rPr>
                <w:rFonts w:eastAsia="Times New Roman" w:cs="Times New Roman"/>
                <w:b/>
                <w:bCs/>
                <w:color w:val="000000"/>
                <w:sz w:val="20"/>
                <w:szCs w:val="20"/>
                <w:lang w:eastAsia="pt-BR"/>
              </w:rPr>
            </w:pPr>
            <w:r w:rsidRPr="000A32A3">
              <w:rPr>
                <w:rFonts w:eastAsia="Times New Roman" w:cs="Times New Roman"/>
                <w:b/>
                <w:bCs/>
                <w:color w:val="000000"/>
                <w:sz w:val="20"/>
                <w:szCs w:val="20"/>
                <w:lang w:eastAsia="pt-BR"/>
              </w:rPr>
              <w:t>V. Emprego e v. salário</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Turismo Regional</w:t>
            </w:r>
          </w:p>
        </w:tc>
        <w:tc>
          <w:tcPr>
            <w:tcW w:w="678"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32.251</w:t>
            </w:r>
          </w:p>
        </w:tc>
        <w:tc>
          <w:tcPr>
            <w:tcW w:w="444"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0,442</w:t>
            </w:r>
          </w:p>
        </w:tc>
        <w:tc>
          <w:tcPr>
            <w:tcW w:w="357"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0,212</w:t>
            </w:r>
          </w:p>
        </w:tc>
        <w:tc>
          <w:tcPr>
            <w:tcW w:w="603" w:type="pct"/>
            <w:tcBorders>
              <w:top w:val="nil"/>
              <w:left w:val="nil"/>
              <w:bottom w:val="nil"/>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0,343</w:t>
            </w:r>
          </w:p>
        </w:tc>
        <w:tc>
          <w:tcPr>
            <w:tcW w:w="678" w:type="pct"/>
            <w:tcBorders>
              <w:top w:val="nil"/>
              <w:left w:val="nil"/>
              <w:bottom w:val="nil"/>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80.516</w:t>
            </w:r>
          </w:p>
        </w:tc>
        <w:tc>
          <w:tcPr>
            <w:tcW w:w="445"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0,232</w:t>
            </w:r>
          </w:p>
        </w:tc>
        <w:tc>
          <w:tcPr>
            <w:tcW w:w="35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0,249</w:t>
            </w:r>
          </w:p>
        </w:tc>
        <w:tc>
          <w:tcPr>
            <w:tcW w:w="590"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0,276</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Comércio e serviço</w:t>
            </w:r>
          </w:p>
        </w:tc>
        <w:tc>
          <w:tcPr>
            <w:tcW w:w="678"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45.278</w:t>
            </w:r>
          </w:p>
        </w:tc>
        <w:tc>
          <w:tcPr>
            <w:tcW w:w="444"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0,346</w:t>
            </w:r>
          </w:p>
        </w:tc>
        <w:tc>
          <w:tcPr>
            <w:tcW w:w="357"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0,259</w:t>
            </w:r>
          </w:p>
        </w:tc>
        <w:tc>
          <w:tcPr>
            <w:tcW w:w="603" w:type="pct"/>
            <w:tcBorders>
              <w:top w:val="nil"/>
              <w:left w:val="nil"/>
              <w:bottom w:val="nil"/>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0,300</w:t>
            </w:r>
          </w:p>
        </w:tc>
        <w:tc>
          <w:tcPr>
            <w:tcW w:w="678" w:type="pct"/>
            <w:tcBorders>
              <w:top w:val="nil"/>
              <w:left w:val="nil"/>
              <w:bottom w:val="nil"/>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80.593</w:t>
            </w:r>
          </w:p>
        </w:tc>
        <w:tc>
          <w:tcPr>
            <w:tcW w:w="445"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0,273</w:t>
            </w:r>
          </w:p>
        </w:tc>
        <w:tc>
          <w:tcPr>
            <w:tcW w:w="35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0,303</w:t>
            </w:r>
          </w:p>
        </w:tc>
        <w:tc>
          <w:tcPr>
            <w:tcW w:w="590"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0,366</w:t>
            </w:r>
          </w:p>
        </w:tc>
      </w:tr>
      <w:tr w:rsidR="00CD16EF" w:rsidRPr="000A32A3" w:rsidTr="005C36C7">
        <w:trPr>
          <w:trHeight w:val="300"/>
        </w:trPr>
        <w:tc>
          <w:tcPr>
            <w:tcW w:w="847" w:type="pct"/>
            <w:tcBorders>
              <w:top w:val="nil"/>
              <w:left w:val="nil"/>
              <w:bottom w:val="single" w:sz="4" w:space="0" w:color="auto"/>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Industrial</w:t>
            </w:r>
          </w:p>
        </w:tc>
        <w:tc>
          <w:tcPr>
            <w:tcW w:w="678" w:type="pct"/>
            <w:tcBorders>
              <w:top w:val="nil"/>
              <w:left w:val="nil"/>
              <w:bottom w:val="single" w:sz="4" w:space="0" w:color="auto"/>
              <w:right w:val="nil"/>
            </w:tcBorders>
            <w:shd w:val="clear" w:color="auto" w:fill="auto"/>
            <w:noWrap/>
            <w:vAlign w:val="center"/>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431.357</w:t>
            </w:r>
          </w:p>
        </w:tc>
        <w:tc>
          <w:tcPr>
            <w:tcW w:w="444"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0,584</w:t>
            </w:r>
          </w:p>
        </w:tc>
        <w:tc>
          <w:tcPr>
            <w:tcW w:w="357"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0,137</w:t>
            </w:r>
          </w:p>
        </w:tc>
        <w:tc>
          <w:tcPr>
            <w:tcW w:w="603" w:type="pct"/>
            <w:tcBorders>
              <w:top w:val="nil"/>
              <w:left w:val="nil"/>
              <w:bottom w:val="single" w:sz="4" w:space="0" w:color="auto"/>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0,645</w:t>
            </w:r>
          </w:p>
        </w:tc>
        <w:tc>
          <w:tcPr>
            <w:tcW w:w="678" w:type="pct"/>
            <w:tcBorders>
              <w:top w:val="nil"/>
              <w:left w:val="nil"/>
              <w:bottom w:val="single" w:sz="4" w:space="0" w:color="auto"/>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157.718</w:t>
            </w:r>
          </w:p>
        </w:tc>
        <w:tc>
          <w:tcPr>
            <w:tcW w:w="445"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0,251</w:t>
            </w:r>
          </w:p>
        </w:tc>
        <w:tc>
          <w:tcPr>
            <w:tcW w:w="358"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0,241</w:t>
            </w:r>
          </w:p>
        </w:tc>
        <w:tc>
          <w:tcPr>
            <w:tcW w:w="590"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0,351</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Micro</w:t>
            </w:r>
          </w:p>
        </w:tc>
        <w:tc>
          <w:tcPr>
            <w:tcW w:w="678" w:type="pct"/>
            <w:tcBorders>
              <w:top w:val="nil"/>
              <w:left w:val="nil"/>
              <w:bottom w:val="nil"/>
              <w:right w:val="nil"/>
            </w:tcBorders>
            <w:shd w:val="clear" w:color="auto" w:fill="auto"/>
            <w:noWrap/>
            <w:vAlign w:val="center"/>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22.245</w:t>
            </w:r>
          </w:p>
        </w:tc>
        <w:tc>
          <w:tcPr>
            <w:tcW w:w="444"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0,567</w:t>
            </w:r>
          </w:p>
        </w:tc>
        <w:tc>
          <w:tcPr>
            <w:tcW w:w="357"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0,273</w:t>
            </w:r>
          </w:p>
        </w:tc>
        <w:tc>
          <w:tcPr>
            <w:tcW w:w="603" w:type="pct"/>
            <w:tcBorders>
              <w:top w:val="nil"/>
              <w:left w:val="nil"/>
              <w:bottom w:val="nil"/>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0,408</w:t>
            </w:r>
          </w:p>
        </w:tc>
        <w:tc>
          <w:tcPr>
            <w:tcW w:w="678" w:type="pct"/>
            <w:tcBorders>
              <w:top w:val="nil"/>
              <w:left w:val="nil"/>
              <w:bottom w:val="nil"/>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28.526</w:t>
            </w:r>
          </w:p>
        </w:tc>
        <w:tc>
          <w:tcPr>
            <w:tcW w:w="445"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0,371</w:t>
            </w:r>
          </w:p>
        </w:tc>
        <w:tc>
          <w:tcPr>
            <w:tcW w:w="35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0,451</w:t>
            </w:r>
          </w:p>
        </w:tc>
        <w:tc>
          <w:tcPr>
            <w:tcW w:w="590"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0,393</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Pequeno</w:t>
            </w:r>
          </w:p>
        </w:tc>
        <w:tc>
          <w:tcPr>
            <w:tcW w:w="678" w:type="pct"/>
            <w:tcBorders>
              <w:top w:val="nil"/>
              <w:left w:val="nil"/>
              <w:bottom w:val="nil"/>
              <w:right w:val="nil"/>
            </w:tcBorders>
            <w:shd w:val="clear" w:color="auto" w:fill="auto"/>
            <w:noWrap/>
            <w:vAlign w:val="center"/>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57.159</w:t>
            </w:r>
          </w:p>
        </w:tc>
        <w:tc>
          <w:tcPr>
            <w:tcW w:w="444"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0,428</w:t>
            </w:r>
          </w:p>
        </w:tc>
        <w:tc>
          <w:tcPr>
            <w:tcW w:w="357"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0,236</w:t>
            </w:r>
          </w:p>
        </w:tc>
        <w:tc>
          <w:tcPr>
            <w:tcW w:w="603" w:type="pct"/>
            <w:tcBorders>
              <w:top w:val="nil"/>
              <w:left w:val="nil"/>
              <w:bottom w:val="nil"/>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0,340</w:t>
            </w:r>
          </w:p>
        </w:tc>
        <w:tc>
          <w:tcPr>
            <w:tcW w:w="678" w:type="pct"/>
            <w:tcBorders>
              <w:top w:val="nil"/>
              <w:left w:val="nil"/>
              <w:bottom w:val="nil"/>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67.718</w:t>
            </w:r>
          </w:p>
        </w:tc>
        <w:tc>
          <w:tcPr>
            <w:tcW w:w="445"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0,263</w:t>
            </w:r>
          </w:p>
        </w:tc>
        <w:tc>
          <w:tcPr>
            <w:tcW w:w="35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0,289</w:t>
            </w:r>
          </w:p>
        </w:tc>
        <w:tc>
          <w:tcPr>
            <w:tcW w:w="590"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0,359</w:t>
            </w:r>
          </w:p>
        </w:tc>
      </w:tr>
      <w:tr w:rsidR="00CD16EF" w:rsidRPr="000A32A3" w:rsidTr="005C36C7">
        <w:trPr>
          <w:trHeight w:val="300"/>
        </w:trPr>
        <w:tc>
          <w:tcPr>
            <w:tcW w:w="847" w:type="pct"/>
            <w:tcBorders>
              <w:top w:val="nil"/>
              <w:left w:val="nil"/>
              <w:bottom w:val="nil"/>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Médio</w:t>
            </w:r>
          </w:p>
        </w:tc>
        <w:tc>
          <w:tcPr>
            <w:tcW w:w="678" w:type="pct"/>
            <w:tcBorders>
              <w:top w:val="nil"/>
              <w:left w:val="nil"/>
              <w:bottom w:val="nil"/>
              <w:right w:val="nil"/>
            </w:tcBorders>
            <w:shd w:val="clear" w:color="auto" w:fill="auto"/>
            <w:noWrap/>
            <w:vAlign w:val="center"/>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462.158</w:t>
            </w:r>
          </w:p>
        </w:tc>
        <w:tc>
          <w:tcPr>
            <w:tcW w:w="444"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0,350</w:t>
            </w:r>
          </w:p>
        </w:tc>
        <w:tc>
          <w:tcPr>
            <w:tcW w:w="357"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0,032</w:t>
            </w:r>
          </w:p>
        </w:tc>
        <w:tc>
          <w:tcPr>
            <w:tcW w:w="603" w:type="pct"/>
            <w:tcBorders>
              <w:top w:val="nil"/>
              <w:left w:val="nil"/>
              <w:bottom w:val="nil"/>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0,904</w:t>
            </w:r>
          </w:p>
        </w:tc>
        <w:tc>
          <w:tcPr>
            <w:tcW w:w="678" w:type="pct"/>
            <w:tcBorders>
              <w:top w:val="nil"/>
              <w:left w:val="nil"/>
              <w:bottom w:val="nil"/>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100.757</w:t>
            </w:r>
          </w:p>
        </w:tc>
        <w:tc>
          <w:tcPr>
            <w:tcW w:w="445"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0,201</w:t>
            </w:r>
          </w:p>
        </w:tc>
        <w:tc>
          <w:tcPr>
            <w:tcW w:w="358" w:type="pct"/>
            <w:tcBorders>
              <w:top w:val="nil"/>
              <w:left w:val="nil"/>
              <w:bottom w:val="nil"/>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0,198</w:t>
            </w:r>
          </w:p>
        </w:tc>
        <w:tc>
          <w:tcPr>
            <w:tcW w:w="590" w:type="pct"/>
            <w:tcBorders>
              <w:top w:val="nil"/>
              <w:left w:val="nil"/>
              <w:bottom w:val="nil"/>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0,294</w:t>
            </w:r>
          </w:p>
        </w:tc>
      </w:tr>
      <w:tr w:rsidR="00CD16EF" w:rsidRPr="000A32A3" w:rsidTr="005C36C7">
        <w:trPr>
          <w:trHeight w:val="300"/>
        </w:trPr>
        <w:tc>
          <w:tcPr>
            <w:tcW w:w="847" w:type="pct"/>
            <w:tcBorders>
              <w:top w:val="nil"/>
              <w:left w:val="nil"/>
              <w:bottom w:val="single" w:sz="4" w:space="0" w:color="auto"/>
              <w:right w:val="single" w:sz="4" w:space="0" w:color="auto"/>
            </w:tcBorders>
            <w:shd w:val="clear" w:color="auto" w:fill="auto"/>
            <w:noWrap/>
            <w:vAlign w:val="bottom"/>
            <w:hideMark/>
          </w:tcPr>
          <w:p w:rsidR="00CD16EF" w:rsidRPr="000A32A3" w:rsidRDefault="00CD16EF" w:rsidP="00982B81">
            <w:pPr>
              <w:spacing w:after="0" w:line="240" w:lineRule="auto"/>
              <w:rPr>
                <w:rFonts w:eastAsia="Times New Roman" w:cs="Times New Roman"/>
                <w:color w:val="000000"/>
                <w:sz w:val="20"/>
                <w:szCs w:val="20"/>
                <w:lang w:eastAsia="pt-BR"/>
              </w:rPr>
            </w:pPr>
            <w:r w:rsidRPr="000A32A3">
              <w:rPr>
                <w:rFonts w:eastAsia="Times New Roman" w:cs="Times New Roman"/>
                <w:color w:val="000000"/>
                <w:sz w:val="20"/>
                <w:szCs w:val="20"/>
                <w:lang w:eastAsia="pt-BR"/>
              </w:rPr>
              <w:t>Grande</w:t>
            </w:r>
          </w:p>
        </w:tc>
        <w:tc>
          <w:tcPr>
            <w:tcW w:w="678" w:type="pct"/>
            <w:tcBorders>
              <w:top w:val="nil"/>
              <w:left w:val="nil"/>
              <w:bottom w:val="single" w:sz="4" w:space="0" w:color="auto"/>
              <w:right w:val="nil"/>
            </w:tcBorders>
            <w:shd w:val="clear" w:color="auto" w:fill="auto"/>
            <w:noWrap/>
            <w:vAlign w:val="center"/>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2.246.641</w:t>
            </w:r>
          </w:p>
        </w:tc>
        <w:tc>
          <w:tcPr>
            <w:tcW w:w="444"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0,523</w:t>
            </w:r>
          </w:p>
        </w:tc>
        <w:tc>
          <w:tcPr>
            <w:tcW w:w="357"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0,007</w:t>
            </w:r>
          </w:p>
        </w:tc>
        <w:tc>
          <w:tcPr>
            <w:tcW w:w="603" w:type="pct"/>
            <w:tcBorders>
              <w:top w:val="nil"/>
              <w:left w:val="nil"/>
              <w:bottom w:val="single" w:sz="4" w:space="0" w:color="auto"/>
              <w:right w:val="single" w:sz="4" w:space="0" w:color="auto"/>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1,000</w:t>
            </w:r>
          </w:p>
        </w:tc>
        <w:tc>
          <w:tcPr>
            <w:tcW w:w="678" w:type="pct"/>
            <w:tcBorders>
              <w:top w:val="nil"/>
              <w:left w:val="nil"/>
              <w:bottom w:val="single" w:sz="4" w:space="0" w:color="auto"/>
              <w:right w:val="nil"/>
            </w:tcBorders>
            <w:shd w:val="clear" w:color="auto" w:fill="auto"/>
            <w:noWrap/>
            <w:vAlign w:val="bottom"/>
            <w:hideMark/>
          </w:tcPr>
          <w:p w:rsidR="00CD16EF" w:rsidRPr="000A32A3" w:rsidRDefault="000C3576"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2.470.886</w:t>
            </w:r>
          </w:p>
        </w:tc>
        <w:tc>
          <w:tcPr>
            <w:tcW w:w="445"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0,549</w:t>
            </w:r>
          </w:p>
        </w:tc>
        <w:tc>
          <w:tcPr>
            <w:tcW w:w="358" w:type="pct"/>
            <w:tcBorders>
              <w:top w:val="nil"/>
              <w:left w:val="nil"/>
              <w:bottom w:val="single" w:sz="4" w:space="0" w:color="auto"/>
              <w:right w:val="nil"/>
            </w:tcBorders>
            <w:shd w:val="clear" w:color="auto" w:fill="auto"/>
            <w:noWrap/>
            <w:vAlign w:val="bottom"/>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0,045</w:t>
            </w:r>
          </w:p>
        </w:tc>
        <w:tc>
          <w:tcPr>
            <w:tcW w:w="590" w:type="pct"/>
            <w:tcBorders>
              <w:top w:val="nil"/>
              <w:left w:val="nil"/>
              <w:bottom w:val="single" w:sz="4" w:space="0" w:color="auto"/>
              <w:right w:val="nil"/>
            </w:tcBorders>
            <w:shd w:val="clear" w:color="auto" w:fill="auto"/>
            <w:noWrap/>
            <w:vAlign w:val="center"/>
            <w:hideMark/>
          </w:tcPr>
          <w:p w:rsidR="00CD16EF" w:rsidRPr="000A32A3" w:rsidRDefault="00CD16EF" w:rsidP="00982B81">
            <w:pPr>
              <w:spacing w:after="0" w:line="240" w:lineRule="auto"/>
              <w:jc w:val="center"/>
              <w:rPr>
                <w:rFonts w:eastAsia="Times New Roman" w:cs="Times New Roman"/>
                <w:color w:val="000000"/>
                <w:sz w:val="20"/>
                <w:szCs w:val="20"/>
                <w:lang w:eastAsia="pt-BR"/>
              </w:rPr>
            </w:pPr>
            <w:r w:rsidRPr="000A32A3">
              <w:rPr>
                <w:rFonts w:eastAsia="Times New Roman" w:cs="Times New Roman"/>
                <w:color w:val="000000"/>
                <w:sz w:val="20"/>
                <w:szCs w:val="20"/>
                <w:lang w:eastAsia="pt-BR"/>
              </w:rPr>
              <w:t>0,603</w:t>
            </w:r>
          </w:p>
        </w:tc>
      </w:tr>
    </w:tbl>
    <w:p w:rsidR="00CD16EF" w:rsidRPr="000A32A3" w:rsidRDefault="00CD16EF" w:rsidP="00982B81">
      <w:pPr>
        <w:spacing w:line="240" w:lineRule="auto"/>
        <w:rPr>
          <w:rFonts w:cs="Times New Roman"/>
        </w:rPr>
      </w:pPr>
      <w:r w:rsidRPr="000A32A3">
        <w:rPr>
          <w:rFonts w:cs="Times New Roman"/>
          <w:sz w:val="18"/>
        </w:rPr>
        <w:t>Elaboração: autor.</w:t>
      </w:r>
    </w:p>
    <w:p w:rsidR="00CD16EF" w:rsidRPr="000A32A3" w:rsidRDefault="00CD16EF" w:rsidP="00982B81">
      <w:pPr>
        <w:spacing w:after="120" w:line="240" w:lineRule="auto"/>
        <w:ind w:firstLine="708"/>
        <w:rPr>
          <w:rFonts w:cs="Times New Roman"/>
        </w:rPr>
      </w:pPr>
      <w:r w:rsidRPr="000A32A3">
        <w:rPr>
          <w:rFonts w:cs="Times New Roman"/>
        </w:rPr>
        <w:t xml:space="preserve">Os coeficientes de eficiência para o modelo com produto variação do emprego são, em média, maiores que os com variação do salário. Embora essa divergência tenha sido maior no primeiro período, conclui-se que há espaço na política para ser mais eficiente no aumento de produtividade do que na geração de empregos. </w:t>
      </w:r>
    </w:p>
    <w:p w:rsidR="00CD16EF" w:rsidRPr="000A32A3" w:rsidRDefault="00CD16EF" w:rsidP="00545029">
      <w:pPr>
        <w:spacing w:after="120" w:line="240" w:lineRule="auto"/>
        <w:ind w:firstLine="708"/>
        <w:rPr>
          <w:rFonts w:cs="Times New Roman"/>
        </w:rPr>
      </w:pPr>
      <w:r w:rsidRPr="000A32A3">
        <w:rPr>
          <w:rFonts w:cs="Times New Roman"/>
        </w:rPr>
        <w:t>Apesar de os financiamentos serem maiores para as empresas de grande porte, estas firmas têm uma maior eficiência média no que diz respeito ao incremento de empregos e salários, simultaneamente. Entretanto, apesar do teste de diferença de médias não indicar diferença estatisticamente significante</w:t>
      </w:r>
      <w:r w:rsidRPr="000A32A3">
        <w:rPr>
          <w:rStyle w:val="Refdenotaderodap"/>
          <w:rFonts w:cs="Times New Roman"/>
        </w:rPr>
        <w:footnoteReference w:id="9"/>
      </w:r>
      <w:r w:rsidRPr="000A32A3">
        <w:rPr>
          <w:rFonts w:cs="Times New Roman"/>
        </w:rPr>
        <w:t xml:space="preserve">, elas possuem um menor escore médio de eficiência no incremento dos salários médios, possivelmente, devido ao alto número de empregados. </w:t>
      </w:r>
      <w:r w:rsidR="00545029" w:rsidRPr="000A32A3">
        <w:rPr>
          <w:rFonts w:cs="Times New Roman"/>
        </w:rPr>
        <w:t xml:space="preserve">Ademais, geralmente empresas de grande porte usam </w:t>
      </w:r>
      <w:r w:rsidR="00B56CE0" w:rsidRPr="000A32A3">
        <w:rPr>
          <w:rFonts w:cs="Times New Roman"/>
        </w:rPr>
        <w:t>mão de obra qualificada</w:t>
      </w:r>
      <w:r w:rsidR="00B56CE0" w:rsidRPr="000A32A3" w:rsidDel="00B56CE0">
        <w:rPr>
          <w:rFonts w:cs="Times New Roman"/>
        </w:rPr>
        <w:t xml:space="preserve"> </w:t>
      </w:r>
      <w:r w:rsidR="00545029" w:rsidRPr="000A32A3">
        <w:rPr>
          <w:rFonts w:cs="Times New Roman"/>
        </w:rPr>
        <w:t>em maior quantidad</w:t>
      </w:r>
      <w:r w:rsidR="00B56CE0" w:rsidRPr="000A32A3">
        <w:rPr>
          <w:rFonts w:cs="Times New Roman"/>
        </w:rPr>
        <w:t>e por conta de sua estrutura institucional</w:t>
      </w:r>
      <w:r w:rsidR="00545029" w:rsidRPr="000A32A3">
        <w:rPr>
          <w:rFonts w:cs="Times New Roman"/>
        </w:rPr>
        <w:t xml:space="preserve">. </w:t>
      </w:r>
      <w:r w:rsidRPr="000A32A3">
        <w:rPr>
          <w:rFonts w:cs="Times New Roman"/>
        </w:rPr>
        <w:t>No que diz respeito à variação de empregos, as empresas de porte micro e grande foram, em média, mais eficientes. Vale ressaltar que a maior parte desses resultados é compatível com os encontrados no segundo estágio, apresentados na próxima subseção.</w:t>
      </w:r>
      <w:r w:rsidR="00545029" w:rsidRPr="000A32A3">
        <w:rPr>
          <w:rFonts w:cs="Times New Roman"/>
        </w:rPr>
        <w:t xml:space="preserve"> </w:t>
      </w:r>
    </w:p>
    <w:p w:rsidR="00CD16EF" w:rsidRPr="000A32A3" w:rsidRDefault="00CD16EF" w:rsidP="00982B81">
      <w:pPr>
        <w:spacing w:after="120" w:line="240" w:lineRule="auto"/>
        <w:ind w:firstLine="708"/>
        <w:rPr>
          <w:rFonts w:cs="Times New Roman"/>
        </w:rPr>
      </w:pPr>
      <w:r w:rsidRPr="000A32A3">
        <w:rPr>
          <w:rFonts w:cs="Times New Roman"/>
        </w:rPr>
        <w:t xml:space="preserve">Uma possível causa para a variação na eficiência entre os portes é a classificação, que tem relação com as taxas de juros cobradas, maiores quanto maior o porte. Além da escala, que pode permitir níveis de produtividade mais altos e, consequentemente, maiores salários e contratação de trabalhadores. </w:t>
      </w:r>
    </w:p>
    <w:p w:rsidR="00CD16EF" w:rsidRPr="000A32A3" w:rsidRDefault="00CD16EF" w:rsidP="00545029">
      <w:pPr>
        <w:spacing w:after="120" w:line="240" w:lineRule="auto"/>
        <w:ind w:firstLine="708"/>
        <w:rPr>
          <w:rFonts w:cs="Times New Roman"/>
        </w:rPr>
      </w:pPr>
      <w:r w:rsidRPr="000A32A3">
        <w:rPr>
          <w:rFonts w:cs="Times New Roman"/>
        </w:rPr>
        <w:t xml:space="preserve">Já as firmas das diferentes linhas de financiamento e, consequentemente, atividades econômicas, se deparam com distintas funções de produção, condições de mercado, entre outros fatores, que contribuem para explicar a diferença de eficiência. Em todo o período </w:t>
      </w:r>
      <w:r w:rsidRPr="000A32A3">
        <w:rPr>
          <w:rFonts w:cs="Times New Roman"/>
        </w:rPr>
        <w:lastRenderedPageBreak/>
        <w:t>abordado as linhas de financiamento Desenvolvimento Industrial e Comércio e Serviços tiveram a mesma taxa de juros para todos os portes. Assim, o incentivo financeiro foi proporcionalmente igual para ambas, portanto, a diferença da eficiência está ligada especialmente ao dinamismo econômico do setor</w:t>
      </w:r>
      <w:r w:rsidR="007A1C3C" w:rsidRPr="000A32A3">
        <w:rPr>
          <w:rFonts w:cs="Times New Roman"/>
        </w:rPr>
        <w:t>, intensidade dos fatores de produção</w:t>
      </w:r>
      <w:r w:rsidRPr="000A32A3">
        <w:rPr>
          <w:rFonts w:cs="Times New Roman"/>
        </w:rPr>
        <w:t xml:space="preserve"> e fatores do setor ligado</w:t>
      </w:r>
      <w:r w:rsidR="007A1C3C" w:rsidRPr="000A32A3">
        <w:rPr>
          <w:rFonts w:cs="Times New Roman"/>
        </w:rPr>
        <w:t>s</w:t>
      </w:r>
      <w:r w:rsidRPr="000A32A3">
        <w:rPr>
          <w:rFonts w:cs="Times New Roman"/>
        </w:rPr>
        <w:t xml:space="preserve"> à linh</w:t>
      </w:r>
      <w:r w:rsidR="00545029" w:rsidRPr="000A32A3">
        <w:rPr>
          <w:rFonts w:cs="Times New Roman"/>
        </w:rPr>
        <w:t>a.</w:t>
      </w:r>
    </w:p>
    <w:p w:rsidR="00B3293A" w:rsidRPr="000A32A3" w:rsidRDefault="00CD16EF" w:rsidP="00982B81">
      <w:pPr>
        <w:spacing w:after="120" w:line="240" w:lineRule="auto"/>
        <w:ind w:firstLine="708"/>
        <w:rPr>
          <w:rFonts w:cs="Times New Roman"/>
        </w:rPr>
      </w:pPr>
      <w:r w:rsidRPr="000A32A3">
        <w:rPr>
          <w:rFonts w:cs="Times New Roman"/>
        </w:rPr>
        <w:t>A linha Desenvolvimento Industrial, que teve o maior valor médio de financiamento, foi a mais eficiente na geração de empregos, e empregos e salários simultaneamente, no período pré-crise. Já no intervalo de 2008 a 2011</w:t>
      </w:r>
      <w:r w:rsidR="007A1C3C" w:rsidRPr="000A32A3">
        <w:rPr>
          <w:rFonts w:cs="Times New Roman"/>
        </w:rPr>
        <w:t>,</w:t>
      </w:r>
      <w:r w:rsidRPr="000A32A3">
        <w:rPr>
          <w:rFonts w:cs="Times New Roman"/>
        </w:rPr>
        <w:t xml:space="preserve"> a linha Comércio e Serviços foi mais eficiente que as demais na variação de salário médio. Neste período, as diferenças em relação ao escore médio de eficiência em quase todas as estimações foram pequenas e estatisticamente insignificantes, o que é corroborado pelos resultados da próxima subseção. </w:t>
      </w:r>
    </w:p>
    <w:p w:rsidR="00833F59" w:rsidRPr="000A32A3" w:rsidRDefault="00CD16EF" w:rsidP="00833F59">
      <w:pPr>
        <w:spacing w:after="120" w:line="240" w:lineRule="auto"/>
        <w:ind w:firstLine="708"/>
        <w:rPr>
          <w:rFonts w:cs="Times New Roman"/>
        </w:rPr>
      </w:pPr>
      <w:r w:rsidRPr="000A32A3">
        <w:rPr>
          <w:rFonts w:cs="Times New Roman"/>
        </w:rPr>
        <w:t xml:space="preserve">A periodização adotada justifica as variações de eficiências encontradas. Após a crise de 2008, os coeficientes médios de eficiência na geração de empregos caíram em todas as linhas de financiamento. Este resultado pode estar ligado ao contexto no mercado de trabalho, que esteve aquecido durante o segundo intervalo analisado (IPEA, 2013), além das expectativas dos empresários, que estiveram preocupados com a conjuntura econômica.  </w:t>
      </w:r>
    </w:p>
    <w:p w:rsidR="001A1223" w:rsidRPr="000A32A3" w:rsidRDefault="001A1223" w:rsidP="00833F59">
      <w:pPr>
        <w:spacing w:after="120" w:line="240" w:lineRule="auto"/>
        <w:ind w:firstLine="708"/>
        <w:rPr>
          <w:rFonts w:cs="Times New Roman"/>
        </w:rPr>
      </w:pPr>
    </w:p>
    <w:p w:rsidR="00B3293A" w:rsidRPr="000A32A3" w:rsidRDefault="00CD16EF" w:rsidP="00982B81">
      <w:pPr>
        <w:pStyle w:val="Ttulo1"/>
        <w:numPr>
          <w:ilvl w:val="1"/>
          <w:numId w:val="17"/>
        </w:numPr>
        <w:spacing w:before="0" w:after="120" w:line="240" w:lineRule="auto"/>
        <w:rPr>
          <w:rFonts w:cs="Times New Roman"/>
        </w:rPr>
      </w:pPr>
      <w:bookmarkStart w:id="9" w:name="_Toc445241616"/>
      <w:r w:rsidRPr="000A32A3">
        <w:rPr>
          <w:rFonts w:cs="Times New Roman"/>
        </w:rPr>
        <w:t>Segundo estágio</w:t>
      </w:r>
      <w:bookmarkEnd w:id="9"/>
    </w:p>
    <w:p w:rsidR="001A1223" w:rsidRPr="000A32A3" w:rsidRDefault="001A1223" w:rsidP="008422D2"/>
    <w:p w:rsidR="00CD16EF" w:rsidRPr="000A32A3" w:rsidRDefault="00CD16EF" w:rsidP="00982B81">
      <w:pPr>
        <w:spacing w:after="120" w:line="240" w:lineRule="auto"/>
        <w:ind w:firstLine="708"/>
        <w:rPr>
          <w:rFonts w:cs="Times New Roman"/>
        </w:rPr>
      </w:pPr>
      <w:r w:rsidRPr="000A32A3">
        <w:rPr>
          <w:rFonts w:cs="Times New Roman"/>
        </w:rPr>
        <w:t>O objetivo do segundo estágio deste estudo é verificar os determinantes da eficiência. Alguns autores combinam a metodologia de DEA com o modelo</w:t>
      </w:r>
      <w:r w:rsidR="00A00C83" w:rsidRPr="000A32A3">
        <w:rPr>
          <w:rFonts w:cs="Times New Roman"/>
        </w:rPr>
        <w:t xml:space="preserve"> de Mínimos Quadrados Ordinários (MQO) ou</w:t>
      </w:r>
      <w:r w:rsidRPr="000A32A3">
        <w:rPr>
          <w:rFonts w:cs="Times New Roman"/>
        </w:rPr>
        <w:t xml:space="preserve"> </w:t>
      </w:r>
      <w:r w:rsidRPr="000A32A3">
        <w:rPr>
          <w:rFonts w:cs="Times New Roman"/>
          <w:i/>
        </w:rPr>
        <w:t>tobit</w:t>
      </w:r>
      <w:r w:rsidRPr="000A32A3">
        <w:rPr>
          <w:rFonts w:cs="Times New Roman"/>
        </w:rPr>
        <w:t xml:space="preserve"> para atingir este objetivo (FERREIRA; BRAGA, 2007). </w:t>
      </w:r>
      <w:r w:rsidR="00A00C83" w:rsidRPr="000A32A3">
        <w:rPr>
          <w:rFonts w:cs="Times New Roman"/>
        </w:rPr>
        <w:t xml:space="preserve">Neste trabalho tanto os coeficiente quanto os erros-padrão encontrados por meio do </w:t>
      </w:r>
      <w:r w:rsidR="00A00C83" w:rsidRPr="000A32A3">
        <w:rPr>
          <w:rFonts w:cs="Times New Roman"/>
          <w:i/>
        </w:rPr>
        <w:t>tobit</w:t>
      </w:r>
      <w:r w:rsidR="00A00C83" w:rsidRPr="000A32A3">
        <w:rPr>
          <w:rFonts w:cs="Times New Roman"/>
        </w:rPr>
        <w:t xml:space="preserve"> são semelhantes aos encontrados por MQO, portanto, são apresentados apenas os coeficientes referentes ao MQO</w:t>
      </w:r>
      <w:r w:rsidR="00E34BD0" w:rsidRPr="000A32A3">
        <w:rPr>
          <w:rStyle w:val="Refdenotaderodap"/>
          <w:rFonts w:cs="Times New Roman"/>
        </w:rPr>
        <w:footnoteReference w:id="10"/>
      </w:r>
      <w:r w:rsidR="00573C8E" w:rsidRPr="000A32A3">
        <w:rPr>
          <w:rFonts w:cs="Times New Roman"/>
        </w:rPr>
        <w:t xml:space="preserve">. Todavia, o modelo de fronteira de ordem-m não gera escores de eficiência em intervalo limitado, portanto, </w:t>
      </w:r>
      <w:r w:rsidR="0077595E" w:rsidRPr="000A32A3">
        <w:rPr>
          <w:rFonts w:cs="Times New Roman"/>
        </w:rPr>
        <w:t xml:space="preserve">não há </w:t>
      </w:r>
      <w:r w:rsidR="00573C8E" w:rsidRPr="000A32A3">
        <w:rPr>
          <w:rFonts w:cs="Times New Roman"/>
        </w:rPr>
        <w:t xml:space="preserve"> a necessidade de usar modelos censurados</w:t>
      </w:r>
      <w:r w:rsidRPr="000A32A3">
        <w:rPr>
          <w:rFonts w:cs="Times New Roman"/>
        </w:rPr>
        <w:t>.</w:t>
      </w:r>
      <w:r w:rsidR="00E34BD0" w:rsidRPr="000A32A3">
        <w:rPr>
          <w:rFonts w:cs="Times New Roman"/>
        </w:rPr>
        <w:t xml:space="preserve"> </w:t>
      </w:r>
      <w:r w:rsidRPr="000A32A3">
        <w:rPr>
          <w:rFonts w:cs="Times New Roman"/>
        </w:rPr>
        <w:t xml:space="preserve">Outros estudos também estimam em dois estágios, usando os métodos de </w:t>
      </w:r>
      <w:r w:rsidR="00A00C83" w:rsidRPr="000A32A3">
        <w:rPr>
          <w:rFonts w:cs="Times New Roman"/>
        </w:rPr>
        <w:t xml:space="preserve">MQO </w:t>
      </w:r>
      <w:r w:rsidRPr="000A32A3">
        <w:rPr>
          <w:rFonts w:cs="Times New Roman"/>
        </w:rPr>
        <w:t xml:space="preserve">e regressão quantílica (SOUSA; SOUZA, 2014). </w:t>
      </w:r>
    </w:p>
    <w:p w:rsidR="00536C9F" w:rsidRPr="000A32A3" w:rsidRDefault="00A00C83" w:rsidP="00982B81">
      <w:pPr>
        <w:spacing w:after="120" w:line="240" w:lineRule="auto"/>
        <w:ind w:firstLine="708"/>
        <w:rPr>
          <w:rFonts w:cs="Times New Roman"/>
        </w:rPr>
      </w:pPr>
      <w:r w:rsidRPr="000A32A3">
        <w:rPr>
          <w:rFonts w:cs="Times New Roman"/>
        </w:rPr>
        <w:t>A</w:t>
      </w:r>
      <w:r w:rsidR="00CD16EF" w:rsidRPr="000A32A3">
        <w:rPr>
          <w:rFonts w:cs="Times New Roman"/>
        </w:rPr>
        <w:t xml:space="preserve"> análise não paramétrica deve ser complementada pela estimação dos modelos de regressão com o objetivo de identificar os fatores que afetam o desempenho das empresas e, consequentemente, da política de financiamento. </w:t>
      </w:r>
      <w:r w:rsidRPr="000A32A3">
        <w:rPr>
          <w:rFonts w:cs="Times New Roman"/>
        </w:rPr>
        <w:t>Neste sentido, f</w:t>
      </w:r>
      <w:r w:rsidR="00CD16EF" w:rsidRPr="000A32A3">
        <w:rPr>
          <w:rFonts w:cs="Times New Roman"/>
        </w:rPr>
        <w:t>oram estimadas seis regressões</w:t>
      </w:r>
      <w:r w:rsidRPr="000A32A3">
        <w:rPr>
          <w:rFonts w:cs="Times New Roman"/>
        </w:rPr>
        <w:t xml:space="preserve"> de MQO</w:t>
      </w:r>
      <w:r w:rsidR="00CD16EF" w:rsidRPr="000A32A3">
        <w:rPr>
          <w:rFonts w:cs="Times New Roman"/>
        </w:rPr>
        <w:t xml:space="preserve">, </w:t>
      </w:r>
      <w:r w:rsidR="00536C9F" w:rsidRPr="000A32A3">
        <w:rPr>
          <w:rFonts w:cs="Times New Roman"/>
        </w:rPr>
        <w:t xml:space="preserve">representadas na equação a seguir, </w:t>
      </w:r>
      <w:r w:rsidR="00CD16EF" w:rsidRPr="000A32A3">
        <w:rPr>
          <w:rFonts w:cs="Times New Roman"/>
        </w:rPr>
        <w:t xml:space="preserve">as quais usaram os escores de eficiência da fronteira de ordem-m como variável dependente, </w:t>
      </w:r>
      <w:r w:rsidR="00536C9F" w:rsidRPr="000A32A3">
        <w:rPr>
          <w:rFonts w:cs="Times New Roman"/>
        </w:rPr>
        <w:t xml:space="preserve">simbolizados por </w:t>
      </w:r>
      <w:r w:rsidR="00536C9F" w:rsidRPr="000A32A3">
        <w:rPr>
          <w:rFonts w:cs="Times New Roman"/>
          <w:i/>
        </w:rPr>
        <w:t>Y</w:t>
      </w:r>
      <w:r w:rsidR="00536C9F" w:rsidRPr="000A32A3">
        <w:rPr>
          <w:rFonts w:cs="Times New Roman"/>
          <w:i/>
          <w:vertAlign w:val="subscript"/>
        </w:rPr>
        <w:t>i</w:t>
      </w:r>
      <w:r w:rsidR="00536C9F" w:rsidRPr="000A32A3">
        <w:rPr>
          <w:rFonts w:cs="Times New Roman"/>
        </w:rPr>
        <w:t>. A estimação para cada</w:t>
      </w:r>
      <w:r w:rsidR="00CD16EF" w:rsidRPr="000A32A3">
        <w:rPr>
          <w:rFonts w:cs="Times New Roman"/>
        </w:rPr>
        <w:t xml:space="preserve"> produto </w:t>
      </w:r>
      <w:r w:rsidR="00536C9F" w:rsidRPr="000A32A3">
        <w:rPr>
          <w:rFonts w:cs="Times New Roman"/>
        </w:rPr>
        <w:t xml:space="preserve">é </w:t>
      </w:r>
      <w:r w:rsidR="00CD16EF" w:rsidRPr="000A32A3">
        <w:rPr>
          <w:rFonts w:cs="Times New Roman"/>
        </w:rPr>
        <w:t>apresentad</w:t>
      </w:r>
      <w:r w:rsidR="00536C9F" w:rsidRPr="000A32A3">
        <w:rPr>
          <w:rFonts w:cs="Times New Roman"/>
        </w:rPr>
        <w:t>a</w:t>
      </w:r>
      <w:r w:rsidR="00CD16EF" w:rsidRPr="000A32A3">
        <w:rPr>
          <w:rFonts w:cs="Times New Roman"/>
        </w:rPr>
        <w:t xml:space="preserve"> nas colunas da </w:t>
      </w:r>
      <w:r w:rsidR="0046037B" w:rsidRPr="000A32A3">
        <w:rPr>
          <w:rFonts w:cs="Times New Roman"/>
        </w:rPr>
        <w:t xml:space="preserve">próxima </w:t>
      </w:r>
      <w:r w:rsidR="00CD16EF" w:rsidRPr="000A32A3">
        <w:rPr>
          <w:rFonts w:cs="Times New Roman"/>
        </w:rPr>
        <w:t>tabela</w:t>
      </w:r>
      <w:r w:rsidR="00CD16EF" w:rsidRPr="000A32A3">
        <w:rPr>
          <w:rStyle w:val="Refdenotaderodap"/>
          <w:rFonts w:cs="Times New Roman"/>
        </w:rPr>
        <w:footnoteReference w:id="11"/>
      </w:r>
      <w:r w:rsidR="00536C9F" w:rsidRPr="000A32A3">
        <w:rPr>
          <w:rFonts w:cs="Times New Roman"/>
        </w:rPr>
        <w:t xml:space="preserve">, assim como </w:t>
      </w:r>
      <w:r w:rsidR="00CD16EF" w:rsidRPr="000A32A3">
        <w:rPr>
          <w:rFonts w:cs="Times New Roman"/>
        </w:rPr>
        <w:t xml:space="preserve">os resultados </w:t>
      </w:r>
      <w:r w:rsidR="00536C9F" w:rsidRPr="000A32A3">
        <w:rPr>
          <w:rFonts w:cs="Times New Roman"/>
        </w:rPr>
        <w:t>d</w:t>
      </w:r>
      <w:r w:rsidR="00CD16EF" w:rsidRPr="000A32A3">
        <w:rPr>
          <w:rFonts w:cs="Times New Roman"/>
        </w:rPr>
        <w:t xml:space="preserve">os dois períodos abordados. </w:t>
      </w:r>
    </w:p>
    <w:p w:rsidR="007B7221" w:rsidRPr="000A32A3" w:rsidRDefault="00536C9F" w:rsidP="00982B81">
      <w:pPr>
        <w:spacing w:after="120" w:line="240" w:lineRule="auto"/>
        <w:ind w:firstLine="708"/>
        <w:rPr>
          <w:rFonts w:cs="Times New Roman"/>
          <w:szCs w:val="24"/>
        </w:rPr>
      </w:pPr>
      <w:r w:rsidRPr="000A32A3">
        <w:rPr>
          <w:rFonts w:cs="Times New Roman"/>
        </w:rPr>
        <w:t>As</w:t>
      </w:r>
      <w:r w:rsidR="00CD16EF" w:rsidRPr="000A32A3">
        <w:rPr>
          <w:rFonts w:cs="Times New Roman"/>
        </w:rPr>
        <w:t xml:space="preserve"> variáveis independentes</w:t>
      </w:r>
      <w:r w:rsidR="007B7221" w:rsidRPr="000A32A3">
        <w:rPr>
          <w:rFonts w:cs="Times New Roman"/>
        </w:rPr>
        <w:t xml:space="preserve">, representadas pelo vetor </w:t>
      </w:r>
      <w:r w:rsidR="007B7221" w:rsidRPr="000A32A3">
        <w:rPr>
          <w:rFonts w:cs="Times New Roman"/>
          <w:i/>
          <w:szCs w:val="24"/>
        </w:rPr>
        <w:t>X</w:t>
      </w:r>
      <w:r w:rsidR="007B7221" w:rsidRPr="000A32A3">
        <w:rPr>
          <w:rFonts w:cs="Times New Roman"/>
          <w:i/>
          <w:szCs w:val="24"/>
          <w:vertAlign w:val="subscript"/>
        </w:rPr>
        <w:t>i</w:t>
      </w:r>
      <w:r w:rsidR="007B7221" w:rsidRPr="000A32A3">
        <w:rPr>
          <w:rFonts w:cs="Times New Roman"/>
          <w:i/>
          <w:szCs w:val="24"/>
        </w:rPr>
        <w:t>,</w:t>
      </w:r>
      <w:r w:rsidR="00CD16EF" w:rsidRPr="000A32A3">
        <w:rPr>
          <w:rFonts w:cs="Times New Roman"/>
        </w:rPr>
        <w:t xml:space="preserve"> foram o valor do FCO tomado pela empresa no ano base (em R$ milhões)</w:t>
      </w:r>
      <w:r w:rsidR="007A1C3C" w:rsidRPr="000A32A3">
        <w:rPr>
          <w:rFonts w:cs="Times New Roman"/>
        </w:rPr>
        <w:t xml:space="preserve"> </w:t>
      </w:r>
      <w:r w:rsidR="00CD16EF" w:rsidRPr="000A32A3">
        <w:rPr>
          <w:rStyle w:val="Refdenotaderodap"/>
          <w:rFonts w:cs="Times New Roman"/>
        </w:rPr>
        <w:footnoteReference w:id="12"/>
      </w:r>
      <w:r w:rsidR="00CD16EF" w:rsidRPr="000A32A3">
        <w:rPr>
          <w:rFonts w:cs="Times New Roman"/>
        </w:rPr>
        <w:t xml:space="preserve">; </w:t>
      </w:r>
      <w:r w:rsidR="00CD16EF" w:rsidRPr="000A32A3">
        <w:rPr>
          <w:rFonts w:cs="Times New Roman"/>
          <w:i/>
        </w:rPr>
        <w:t xml:space="preserve">dummies </w:t>
      </w:r>
      <w:r w:rsidR="00CD16EF" w:rsidRPr="000A32A3">
        <w:rPr>
          <w:rFonts w:cs="Times New Roman"/>
        </w:rPr>
        <w:t xml:space="preserve">referentes à linha de financiamento, onde </w:t>
      </w:r>
      <w:r w:rsidR="00CD16EF" w:rsidRPr="000A32A3">
        <w:rPr>
          <w:rFonts w:cs="Times New Roman"/>
          <w:i/>
        </w:rPr>
        <w:t>Progcomser</w:t>
      </w:r>
      <w:r w:rsidR="00CD16EF" w:rsidRPr="000A32A3">
        <w:rPr>
          <w:rFonts w:cs="Times New Roman"/>
        </w:rPr>
        <w:t xml:space="preserve"> se refere à linha Comércio e Serviços, </w:t>
      </w:r>
      <w:r w:rsidR="00CD16EF" w:rsidRPr="000A32A3">
        <w:rPr>
          <w:rFonts w:cs="Times New Roman"/>
          <w:i/>
        </w:rPr>
        <w:t xml:space="preserve">Progtur, </w:t>
      </w:r>
      <w:r w:rsidR="00CD16EF" w:rsidRPr="000A32A3">
        <w:rPr>
          <w:rFonts w:cs="Times New Roman"/>
        </w:rPr>
        <w:t xml:space="preserve">linha de Desenvolvimento </w:t>
      </w:r>
      <w:r w:rsidR="00CD16EF" w:rsidRPr="000A32A3">
        <w:rPr>
          <w:rFonts w:cs="Times New Roman"/>
        </w:rPr>
        <w:lastRenderedPageBreak/>
        <w:t xml:space="preserve">do Turismo Regional, restando a linha de Desenvolvimento Industrial como base de comparação; </w:t>
      </w:r>
      <w:r w:rsidR="00CD16EF" w:rsidRPr="000A32A3">
        <w:rPr>
          <w:rFonts w:cs="Times New Roman"/>
          <w:i/>
        </w:rPr>
        <w:t>dummies</w:t>
      </w:r>
      <w:r w:rsidR="00CD16EF" w:rsidRPr="000A32A3">
        <w:rPr>
          <w:rFonts w:cs="Times New Roman"/>
        </w:rPr>
        <w:t xml:space="preserve"> de porte, na qual o pequeno porte foi a base, e </w:t>
      </w:r>
      <w:r w:rsidR="00CD16EF" w:rsidRPr="000A32A3">
        <w:rPr>
          <w:rFonts w:cs="Times New Roman"/>
          <w:i/>
        </w:rPr>
        <w:t>Micro</w:t>
      </w:r>
      <w:r w:rsidR="00CD16EF" w:rsidRPr="000A32A3">
        <w:rPr>
          <w:rFonts w:cs="Times New Roman"/>
        </w:rPr>
        <w:t xml:space="preserve">, </w:t>
      </w:r>
      <w:r w:rsidR="00CD16EF" w:rsidRPr="000A32A3">
        <w:rPr>
          <w:rFonts w:cs="Times New Roman"/>
          <w:i/>
        </w:rPr>
        <w:t>Médio</w:t>
      </w:r>
      <w:r w:rsidR="00CD16EF" w:rsidRPr="000A32A3">
        <w:rPr>
          <w:rFonts w:cs="Times New Roman"/>
        </w:rPr>
        <w:t xml:space="preserve"> e </w:t>
      </w:r>
      <w:r w:rsidR="00CD16EF" w:rsidRPr="000A32A3">
        <w:rPr>
          <w:rFonts w:cs="Times New Roman"/>
          <w:i/>
        </w:rPr>
        <w:t>Grande</w:t>
      </w:r>
      <w:r w:rsidR="00CD16EF" w:rsidRPr="000A32A3">
        <w:rPr>
          <w:rFonts w:cs="Times New Roman"/>
        </w:rPr>
        <w:t xml:space="preserve"> se referem aos respect</w:t>
      </w:r>
      <w:r w:rsidR="007B7221" w:rsidRPr="000A32A3">
        <w:rPr>
          <w:rFonts w:cs="Times New Roman"/>
        </w:rPr>
        <w:t>ivos portes;</w:t>
      </w:r>
      <w:r w:rsidR="00CD16EF" w:rsidRPr="000A32A3">
        <w:rPr>
          <w:rFonts w:cs="Times New Roman"/>
        </w:rPr>
        <w:t xml:space="preserve"> </w:t>
      </w:r>
      <w:r w:rsidR="00CD16EF" w:rsidRPr="000A32A3">
        <w:rPr>
          <w:rFonts w:cs="Times New Roman"/>
          <w:i/>
        </w:rPr>
        <w:t>Empquali</w:t>
      </w:r>
      <w:r w:rsidR="00CD16EF" w:rsidRPr="000A32A3">
        <w:rPr>
          <w:rFonts w:cs="Times New Roman"/>
        </w:rPr>
        <w:t xml:space="preserve"> é o número de trabalhadores com ensino superior ou maior qualificação</w:t>
      </w:r>
      <w:r w:rsidR="007B7221" w:rsidRPr="000A32A3">
        <w:rPr>
          <w:rFonts w:cs="Times New Roman"/>
        </w:rPr>
        <w:t xml:space="preserve">; e </w:t>
      </w:r>
      <m:oMath>
        <m:r>
          <w:rPr>
            <w:rFonts w:ascii="Cambria Math" w:hAnsi="Cambria Math" w:cs="Times New Roman"/>
            <w:szCs w:val="24"/>
          </w:rPr>
          <m:t>ε</m:t>
        </m:r>
      </m:oMath>
      <w:r w:rsidR="007B7221" w:rsidRPr="000A32A3">
        <w:rPr>
          <w:rFonts w:cs="Times New Roman"/>
          <w:szCs w:val="24"/>
          <w:vertAlign w:val="subscript"/>
        </w:rPr>
        <w:t>i</w:t>
      </w:r>
      <w:r w:rsidR="007B7221" w:rsidRPr="000A32A3">
        <w:rPr>
          <w:rFonts w:cs="Times New Roman"/>
          <w:szCs w:val="24"/>
        </w:rPr>
        <w:t xml:space="preserve"> é o termo de erro.</w:t>
      </w:r>
    </w:p>
    <w:p w:rsidR="001A1223" w:rsidRPr="000A32A3" w:rsidRDefault="007B7221" w:rsidP="004002D0">
      <w:pPr>
        <w:spacing w:after="120" w:line="240" w:lineRule="auto"/>
        <w:ind w:firstLine="708"/>
        <w:rPr>
          <w:rFonts w:cs="Times New Roman"/>
          <w:szCs w:val="24"/>
        </w:rPr>
      </w:pPr>
      <w:r w:rsidRPr="000A32A3">
        <w:rPr>
          <w:rFonts w:cs="Times New Roman"/>
          <w:szCs w:val="24"/>
        </w:rPr>
        <w:t>Y</w:t>
      </w:r>
      <w:r w:rsidRPr="000A32A3">
        <w:rPr>
          <w:rFonts w:cs="Times New Roman"/>
          <w:szCs w:val="24"/>
          <w:vertAlign w:val="subscript"/>
        </w:rPr>
        <w:t>i</w:t>
      </w:r>
      <w:r w:rsidRPr="000A32A3">
        <w:rPr>
          <w:rFonts w:cs="Times New Roman"/>
          <w:szCs w:val="24"/>
        </w:rPr>
        <w:t xml:space="preserve"> = </w:t>
      </w:r>
      <m:oMath>
        <m:r>
          <w:rPr>
            <w:rFonts w:ascii="Cambria Math" w:hAnsi="Cambria Math" w:cs="Times New Roman"/>
            <w:szCs w:val="24"/>
          </w:rPr>
          <m:t>β</m:t>
        </m:r>
      </m:oMath>
      <w:r w:rsidRPr="000A32A3">
        <w:rPr>
          <w:rFonts w:cs="Times New Roman"/>
          <w:szCs w:val="24"/>
        </w:rPr>
        <w:t>X</w:t>
      </w:r>
      <w:r w:rsidRPr="000A32A3">
        <w:rPr>
          <w:rFonts w:cs="Times New Roman"/>
          <w:szCs w:val="24"/>
          <w:vertAlign w:val="subscript"/>
        </w:rPr>
        <w:t>i</w:t>
      </w:r>
      <w:r w:rsidRPr="000A32A3">
        <w:rPr>
          <w:rFonts w:cs="Times New Roman"/>
          <w:szCs w:val="24"/>
        </w:rPr>
        <w:t xml:space="preserve"> +  </w:t>
      </w:r>
      <m:oMath>
        <m:r>
          <w:rPr>
            <w:rFonts w:ascii="Cambria Math" w:hAnsi="Cambria Math" w:cs="Times New Roman"/>
            <w:szCs w:val="24"/>
          </w:rPr>
          <m:t>ε</m:t>
        </m:r>
      </m:oMath>
      <w:r w:rsidRPr="000A32A3">
        <w:rPr>
          <w:rFonts w:cs="Times New Roman"/>
          <w:szCs w:val="24"/>
          <w:vertAlign w:val="subscript"/>
        </w:rPr>
        <w:t>i</w:t>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r>
      <w:r w:rsidRPr="000A32A3">
        <w:rPr>
          <w:rFonts w:cs="Times New Roman"/>
          <w:szCs w:val="24"/>
        </w:rPr>
        <w:tab/>
        <w:t>(10)</w:t>
      </w:r>
    </w:p>
    <w:p w:rsidR="007A1C3C" w:rsidRPr="000A32A3" w:rsidRDefault="007A1C3C" w:rsidP="004002D0">
      <w:pPr>
        <w:spacing w:after="120" w:line="240" w:lineRule="auto"/>
        <w:ind w:firstLine="708"/>
        <w:rPr>
          <w:rFonts w:cs="Times New Roman"/>
        </w:rPr>
      </w:pPr>
    </w:p>
    <w:p w:rsidR="00CD16EF" w:rsidRPr="000A32A3" w:rsidRDefault="0046037B" w:rsidP="00982B81">
      <w:pPr>
        <w:spacing w:line="240" w:lineRule="auto"/>
        <w:rPr>
          <w:rFonts w:cs="Times New Roman"/>
        </w:rPr>
      </w:pPr>
      <w:r w:rsidRPr="000A32A3">
        <w:rPr>
          <w:rFonts w:cs="Times New Roman"/>
          <w:b/>
        </w:rPr>
        <w:t>Tabela 4</w:t>
      </w:r>
      <w:r w:rsidR="00CD16EF" w:rsidRPr="000A32A3">
        <w:rPr>
          <w:rFonts w:cs="Times New Roman"/>
          <w:b/>
        </w:rPr>
        <w:t xml:space="preserve">: Resultados do segundo estágio – MQO (primeiro estágio: ordem-m) </w:t>
      </w:r>
    </w:p>
    <w:tbl>
      <w:tblPr>
        <w:tblW w:w="5043" w:type="pct"/>
        <w:tblLook w:val="0000" w:firstRow="0" w:lastRow="0" w:firstColumn="0" w:lastColumn="0" w:noHBand="0" w:noVBand="0"/>
      </w:tblPr>
      <w:tblGrid>
        <w:gridCol w:w="1274"/>
        <w:gridCol w:w="1705"/>
        <w:gridCol w:w="1250"/>
        <w:gridCol w:w="1281"/>
        <w:gridCol w:w="1152"/>
        <w:gridCol w:w="1251"/>
        <w:gridCol w:w="1454"/>
      </w:tblGrid>
      <w:tr w:rsidR="00CD16EF" w:rsidRPr="000A32A3" w:rsidTr="005C36C7">
        <w:tc>
          <w:tcPr>
            <w:tcW w:w="680" w:type="pct"/>
            <w:tcBorders>
              <w:top w:val="single" w:sz="4" w:space="0" w:color="auto"/>
              <w:left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2261" w:type="pct"/>
            <w:gridSpan w:val="3"/>
            <w:tcBorders>
              <w:top w:val="single" w:sz="4" w:space="0" w:color="auto"/>
              <w:left w:val="single" w:sz="4" w:space="0" w:color="auto"/>
              <w:bottom w:val="single" w:sz="4" w:space="0" w:color="auto"/>
              <w:right w:val="single" w:sz="4" w:space="0" w:color="auto"/>
            </w:tcBorders>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2004 - 2008</w:t>
            </w:r>
          </w:p>
        </w:tc>
        <w:tc>
          <w:tcPr>
            <w:tcW w:w="2060" w:type="pct"/>
            <w:gridSpan w:val="3"/>
            <w:tcBorders>
              <w:top w:val="single" w:sz="4" w:space="0" w:color="auto"/>
              <w:left w:val="single" w:sz="4" w:space="0" w:color="auto"/>
              <w:bottom w:val="single" w:sz="4" w:space="0" w:color="auto"/>
              <w:right w:val="nil"/>
            </w:tcBorders>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2008 – 2011</w:t>
            </w:r>
          </w:p>
        </w:tc>
      </w:tr>
      <w:tr w:rsidR="00CD16EF" w:rsidRPr="000A32A3" w:rsidTr="005C36C7">
        <w:tc>
          <w:tcPr>
            <w:tcW w:w="680"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Emprego</w:t>
            </w:r>
          </w:p>
        </w:tc>
        <w:tc>
          <w:tcPr>
            <w:tcW w:w="667" w:type="pct"/>
            <w:tcBorders>
              <w:top w:val="single" w:sz="4" w:space="0" w:color="auto"/>
              <w:left w:val="nil"/>
              <w:bottom w:val="single" w:sz="4" w:space="0" w:color="auto"/>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Salário</w:t>
            </w:r>
          </w:p>
        </w:tc>
        <w:tc>
          <w:tcPr>
            <w:tcW w:w="683"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 Emprego e V. Salário</w:t>
            </w:r>
          </w:p>
        </w:tc>
        <w:tc>
          <w:tcPr>
            <w:tcW w:w="615"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Emprego</w:t>
            </w:r>
          </w:p>
        </w:tc>
        <w:tc>
          <w:tcPr>
            <w:tcW w:w="668" w:type="pct"/>
            <w:tcBorders>
              <w:top w:val="single" w:sz="4" w:space="0" w:color="auto"/>
              <w:left w:val="nil"/>
              <w:bottom w:val="single" w:sz="4" w:space="0" w:color="auto"/>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Salário</w:t>
            </w:r>
          </w:p>
        </w:tc>
        <w:tc>
          <w:tcPr>
            <w:tcW w:w="777" w:type="pct"/>
            <w:tcBorders>
              <w:top w:val="single" w:sz="4" w:space="0" w:color="auto"/>
              <w:left w:val="nil"/>
              <w:bottom w:val="single" w:sz="4" w:space="0" w:color="auto"/>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 Emprego e V. Salário</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 xml:space="preserve">FCO </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436***</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115</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00277</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0889</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060***</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123</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(ano base)</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(-4</w:t>
            </w:r>
            <w:r w:rsidR="000C3576" w:rsidRPr="000A32A3">
              <w:rPr>
                <w:rFonts w:cs="Times New Roman"/>
                <w:sz w:val="20"/>
                <w:szCs w:val="20"/>
              </w:rPr>
              <w:t>,</w:t>
            </w:r>
            <w:r w:rsidRPr="000A32A3">
              <w:rPr>
                <w:rFonts w:cs="Times New Roman"/>
                <w:sz w:val="20"/>
                <w:szCs w:val="20"/>
              </w:rPr>
              <w:t>61)</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57)</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41)</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26)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61)</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39)</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Progcomser</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337</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0613</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170</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0206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0478**</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00768</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38)</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89)</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37)</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97)</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38)</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25)</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Progtur</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310</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00984</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174</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0283</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00754</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0956</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22)</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14)</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17)</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66)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24)</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52)</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Empquali</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0174***</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00154</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00363</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00756**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000488</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00826**</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(4</w:t>
            </w:r>
            <w:r w:rsidR="000C3576" w:rsidRPr="000A32A3">
              <w:rPr>
                <w:rFonts w:cs="Times New Roman"/>
                <w:sz w:val="20"/>
                <w:szCs w:val="20"/>
              </w:rPr>
              <w:t>,</w:t>
            </w:r>
            <w:r w:rsidRPr="000A32A3">
              <w:rPr>
                <w:rFonts w:cs="Times New Roman"/>
                <w:sz w:val="20"/>
                <w:szCs w:val="20"/>
              </w:rPr>
              <w:t>69)</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24)</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26)</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54)</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49)</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32)</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Micro</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225*</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0409</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103</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106*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152**</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0481</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70)</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75)</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80)</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94)</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47)</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99)</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Médio</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228</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110**</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442**</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w:t>
            </w:r>
            <w:r w:rsidR="007A1C3C" w:rsidRPr="000A32A3">
              <w:rPr>
                <w:rFonts w:cs="Times New Roman"/>
                <w:sz w:val="20"/>
                <w:szCs w:val="20"/>
              </w:rPr>
              <w:t>0</w:t>
            </w:r>
            <w:r w:rsidR="000C3576" w:rsidRPr="000A32A3">
              <w:rPr>
                <w:rFonts w:cs="Times New Roman"/>
                <w:sz w:val="20"/>
                <w:szCs w:val="20"/>
              </w:rPr>
              <w:t>,</w:t>
            </w:r>
            <w:r w:rsidRPr="000A32A3">
              <w:rPr>
                <w:rFonts w:cs="Times New Roman"/>
                <w:sz w:val="20"/>
                <w:szCs w:val="20"/>
              </w:rPr>
              <w:t>0612***</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0848***</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0659*</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81)</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02)</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52)</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(-3</w:t>
            </w:r>
            <w:r w:rsidR="000C3576" w:rsidRPr="000A32A3">
              <w:rPr>
                <w:rFonts w:cs="Times New Roman"/>
                <w:sz w:val="20"/>
                <w:szCs w:val="20"/>
              </w:rPr>
              <w:t>,</w:t>
            </w:r>
            <w:r w:rsidRPr="000A32A3">
              <w:rPr>
                <w:rFonts w:cs="Times New Roman"/>
                <w:sz w:val="20"/>
                <w:szCs w:val="20"/>
              </w:rPr>
              <w:t>12)</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(-4</w:t>
            </w:r>
            <w:r w:rsidR="000C3576" w:rsidRPr="000A32A3">
              <w:rPr>
                <w:rFonts w:cs="Times New Roman"/>
                <w:sz w:val="20"/>
                <w:szCs w:val="20"/>
              </w:rPr>
              <w:t>,</w:t>
            </w:r>
            <w:r w:rsidRPr="000A32A3">
              <w:rPr>
                <w:rFonts w:cs="Times New Roman"/>
                <w:sz w:val="20"/>
                <w:szCs w:val="20"/>
              </w:rPr>
              <w:t>15)</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90)</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Grande</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203</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0490</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552**</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0287</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0981**</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0122</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w:t>
            </w:r>
            <w:r w:rsidR="000C3576" w:rsidRPr="000A32A3">
              <w:rPr>
                <w:rFonts w:cs="Times New Roman"/>
                <w:sz w:val="20"/>
                <w:szCs w:val="20"/>
              </w:rPr>
              <w:t>,</w:t>
            </w:r>
            <w:r w:rsidRPr="000A32A3">
              <w:rPr>
                <w:rFonts w:cs="Times New Roman"/>
                <w:sz w:val="20"/>
                <w:szCs w:val="20"/>
              </w:rPr>
              <w:t>58)</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28)</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26)</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16)</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02)</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Constante</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678***</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202***</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469***</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254***</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267***</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362***</w:t>
            </w:r>
          </w:p>
        </w:tc>
      </w:tr>
      <w:tr w:rsidR="00CD16EF" w:rsidRPr="000A32A3" w:rsidTr="005C36C7">
        <w:tc>
          <w:tcPr>
            <w:tcW w:w="680"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0"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(2</w:t>
            </w:r>
            <w:r w:rsidR="000C3576" w:rsidRPr="000A32A3">
              <w:rPr>
                <w:rFonts w:cs="Times New Roman"/>
                <w:sz w:val="20"/>
                <w:szCs w:val="20"/>
              </w:rPr>
              <w:t>,</w:t>
            </w:r>
            <w:r w:rsidRPr="000A32A3">
              <w:rPr>
                <w:rFonts w:cs="Times New Roman"/>
                <w:sz w:val="20"/>
                <w:szCs w:val="20"/>
              </w:rPr>
              <w:t>78)</w:t>
            </w:r>
          </w:p>
        </w:tc>
        <w:tc>
          <w:tcPr>
            <w:tcW w:w="667"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(3</w:t>
            </w:r>
            <w:r w:rsidR="000C3576" w:rsidRPr="000A32A3">
              <w:rPr>
                <w:rFonts w:cs="Times New Roman"/>
                <w:sz w:val="20"/>
                <w:szCs w:val="20"/>
              </w:rPr>
              <w:t>,</w:t>
            </w:r>
            <w:r w:rsidRPr="000A32A3">
              <w:rPr>
                <w:rFonts w:cs="Times New Roman"/>
                <w:sz w:val="20"/>
                <w:szCs w:val="20"/>
              </w:rPr>
              <w:t>82)</w:t>
            </w:r>
          </w:p>
        </w:tc>
        <w:tc>
          <w:tcPr>
            <w:tcW w:w="683"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(4</w:t>
            </w:r>
            <w:r w:rsidR="000C3576" w:rsidRPr="000A32A3">
              <w:rPr>
                <w:rFonts w:cs="Times New Roman"/>
                <w:sz w:val="20"/>
                <w:szCs w:val="20"/>
              </w:rPr>
              <w:t>,</w:t>
            </w:r>
            <w:r w:rsidRPr="000A32A3">
              <w:rPr>
                <w:rFonts w:cs="Times New Roman"/>
                <w:sz w:val="20"/>
                <w:szCs w:val="20"/>
              </w:rPr>
              <w:t>29)</w:t>
            </w:r>
          </w:p>
        </w:tc>
        <w:tc>
          <w:tcPr>
            <w:tcW w:w="615"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(15</w:t>
            </w:r>
            <w:r w:rsidR="000C3576" w:rsidRPr="000A32A3">
              <w:rPr>
                <w:rFonts w:cs="Times New Roman"/>
                <w:sz w:val="20"/>
                <w:szCs w:val="20"/>
              </w:rPr>
              <w:t>,</w:t>
            </w:r>
            <w:r w:rsidRPr="000A32A3">
              <w:rPr>
                <w:rFonts w:cs="Times New Roman"/>
                <w:sz w:val="20"/>
                <w:szCs w:val="20"/>
              </w:rPr>
              <w:t>88)</w:t>
            </w:r>
          </w:p>
        </w:tc>
        <w:tc>
          <w:tcPr>
            <w:tcW w:w="668"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(18</w:t>
            </w:r>
            <w:r w:rsidR="000C3576" w:rsidRPr="000A32A3">
              <w:rPr>
                <w:rFonts w:cs="Times New Roman"/>
                <w:sz w:val="20"/>
                <w:szCs w:val="20"/>
              </w:rPr>
              <w:t>,</w:t>
            </w:r>
            <w:r w:rsidRPr="000A32A3">
              <w:rPr>
                <w:rFonts w:cs="Times New Roman"/>
                <w:sz w:val="20"/>
                <w:szCs w:val="20"/>
              </w:rPr>
              <w:t>69)</w:t>
            </w:r>
          </w:p>
        </w:tc>
        <w:tc>
          <w:tcPr>
            <w:tcW w:w="777"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(14</w:t>
            </w:r>
            <w:r w:rsidR="000C3576" w:rsidRPr="000A32A3">
              <w:rPr>
                <w:rFonts w:cs="Times New Roman"/>
                <w:sz w:val="20"/>
                <w:szCs w:val="20"/>
              </w:rPr>
              <w:t>,</w:t>
            </w:r>
            <w:r w:rsidRPr="000A32A3">
              <w:rPr>
                <w:rFonts w:cs="Times New Roman"/>
                <w:sz w:val="20"/>
                <w:szCs w:val="20"/>
              </w:rPr>
              <w:t>67)</w:t>
            </w:r>
          </w:p>
        </w:tc>
      </w:tr>
      <w:tr w:rsidR="00CD16EF" w:rsidRPr="000A32A3" w:rsidTr="005C36C7">
        <w:tc>
          <w:tcPr>
            <w:tcW w:w="680"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R2</w:t>
            </w:r>
          </w:p>
        </w:tc>
        <w:tc>
          <w:tcPr>
            <w:tcW w:w="910"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11</w:t>
            </w:r>
          </w:p>
        </w:tc>
        <w:tc>
          <w:tcPr>
            <w:tcW w:w="667"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08</w:t>
            </w:r>
          </w:p>
        </w:tc>
        <w:tc>
          <w:tcPr>
            <w:tcW w:w="683"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33</w:t>
            </w:r>
          </w:p>
        </w:tc>
        <w:tc>
          <w:tcPr>
            <w:tcW w:w="615"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09</w:t>
            </w:r>
          </w:p>
        </w:tc>
        <w:tc>
          <w:tcPr>
            <w:tcW w:w="668"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w:t>
            </w:r>
          </w:p>
        </w:tc>
        <w:tc>
          <w:tcPr>
            <w:tcW w:w="777"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06</w:t>
            </w:r>
          </w:p>
        </w:tc>
      </w:tr>
      <w:tr w:rsidR="00CD16EF" w:rsidRPr="000A32A3" w:rsidTr="005C36C7">
        <w:tc>
          <w:tcPr>
            <w:tcW w:w="680"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Obs.</w:t>
            </w:r>
          </w:p>
        </w:tc>
        <w:tc>
          <w:tcPr>
            <w:tcW w:w="910"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70</w:t>
            </w:r>
          </w:p>
        </w:tc>
        <w:tc>
          <w:tcPr>
            <w:tcW w:w="66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92</w:t>
            </w:r>
          </w:p>
        </w:tc>
        <w:tc>
          <w:tcPr>
            <w:tcW w:w="683"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59</w:t>
            </w:r>
          </w:p>
        </w:tc>
        <w:tc>
          <w:tcPr>
            <w:tcW w:w="615"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410</w:t>
            </w:r>
          </w:p>
        </w:tc>
        <w:tc>
          <w:tcPr>
            <w:tcW w:w="668"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566</w:t>
            </w:r>
          </w:p>
        </w:tc>
        <w:tc>
          <w:tcPr>
            <w:tcW w:w="777"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332</w:t>
            </w:r>
          </w:p>
        </w:tc>
      </w:tr>
      <w:tr w:rsidR="00CD16EF" w:rsidRPr="000A32A3" w:rsidTr="005C36C7">
        <w:tc>
          <w:tcPr>
            <w:tcW w:w="680"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Prob&gt;F</w:t>
            </w:r>
          </w:p>
        </w:tc>
        <w:tc>
          <w:tcPr>
            <w:tcW w:w="910"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c>
          <w:tcPr>
            <w:tcW w:w="667"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c>
          <w:tcPr>
            <w:tcW w:w="683"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c>
          <w:tcPr>
            <w:tcW w:w="615"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c>
          <w:tcPr>
            <w:tcW w:w="668"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c>
          <w:tcPr>
            <w:tcW w:w="777"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rPr>
            </w:pPr>
            <w:r w:rsidRPr="000A32A3">
              <w:rPr>
                <w:rFonts w:cs="Times New Roman"/>
                <w:sz w:val="20"/>
                <w:szCs w:val="20"/>
              </w:rPr>
              <w:t>0</w:t>
            </w:r>
            <w:r w:rsidR="000C3576" w:rsidRPr="000A32A3">
              <w:rPr>
                <w:rFonts w:cs="Times New Roman"/>
                <w:sz w:val="20"/>
                <w:szCs w:val="20"/>
              </w:rPr>
              <w:t>,</w:t>
            </w:r>
            <w:r w:rsidRPr="000A32A3">
              <w:rPr>
                <w:rFonts w:cs="Times New Roman"/>
                <w:sz w:val="20"/>
                <w:szCs w:val="20"/>
              </w:rPr>
              <w:t>00</w:t>
            </w:r>
          </w:p>
        </w:tc>
      </w:tr>
    </w:tbl>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Estatística entre parêntese. Erro padrão robusto à heterocedasticidade.</w:t>
      </w:r>
    </w:p>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 xml:space="preserve">* p&lt;0.10, ** p&lt;0.05, *** p&lt;0.01. </w:t>
      </w:r>
    </w:p>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Elaboração: autor.</w:t>
      </w:r>
    </w:p>
    <w:p w:rsidR="00CD16EF" w:rsidRPr="000A32A3" w:rsidRDefault="00CD16EF" w:rsidP="00982B81">
      <w:pPr>
        <w:spacing w:line="240" w:lineRule="auto"/>
        <w:rPr>
          <w:rFonts w:cs="Times New Roman"/>
          <w:sz w:val="18"/>
          <w:szCs w:val="24"/>
        </w:rPr>
      </w:pPr>
    </w:p>
    <w:p w:rsidR="00CD16EF" w:rsidRPr="000A32A3" w:rsidRDefault="00CD16EF" w:rsidP="00982B81">
      <w:pPr>
        <w:spacing w:after="120" w:line="240" w:lineRule="auto"/>
        <w:ind w:firstLine="708"/>
        <w:rPr>
          <w:rFonts w:cs="Times New Roman"/>
        </w:rPr>
      </w:pPr>
      <w:r w:rsidRPr="000A32A3">
        <w:rPr>
          <w:rFonts w:cs="Times New Roman"/>
        </w:rPr>
        <w:t xml:space="preserve">Entre 2004 e 2008, a quantidade de mão de obra qualificada foi estatisticamente significante e positivamente correlacionada aos escores de eficiência da variação de empregos. Por outro lado, quanto maior foi o valor de financiamento do FCO em 2004, menor foi a eficiência na geração de empregos entre 2004 e 2008. No modelo com um insumo e um produto, sendo a variação de salário o produto, apenas o porte médio foi significante, isto é, menos eficiente na variação de salários. Já no modelo com dois produtos, os portes médios e grandes tiveram uma maior eficiência relativamente ao porte pequeno, assim como havia sido relatado anteriormente. </w:t>
      </w:r>
    </w:p>
    <w:p w:rsidR="00CD16EF" w:rsidRPr="000A32A3" w:rsidRDefault="00CD16EF" w:rsidP="00982B81">
      <w:pPr>
        <w:spacing w:after="120" w:line="240" w:lineRule="auto"/>
        <w:ind w:firstLine="708"/>
        <w:rPr>
          <w:rFonts w:cs="Times New Roman"/>
        </w:rPr>
      </w:pPr>
      <w:r w:rsidRPr="000A32A3">
        <w:rPr>
          <w:rFonts w:cs="Times New Roman"/>
        </w:rPr>
        <w:t>Investimentos em educação elevam a produtividade. Além disso, este tipo de gasto pode elevar a eficiência na aplicação do Fundo Constitucional, no sentido de incrementar os salários médios e potencializar o efeito da política</w:t>
      </w:r>
      <w:r w:rsidR="00542E0A" w:rsidRPr="000A32A3">
        <w:rPr>
          <w:rFonts w:cs="Times New Roman"/>
        </w:rPr>
        <w:t>, pois o financiamento contribui para a contratação de mão de obra qualificada, aumentando a sinergia com os demais trabalhadores e estimulando setores, como Pesquisa e Desenvolvimento, além de potencializar a geração de inovações</w:t>
      </w:r>
      <w:r w:rsidRPr="000A32A3">
        <w:rPr>
          <w:rFonts w:cs="Times New Roman"/>
        </w:rPr>
        <w:t xml:space="preserve">. </w:t>
      </w:r>
      <w:r w:rsidR="006A7EDE" w:rsidRPr="000A32A3">
        <w:rPr>
          <w:rFonts w:cs="Times New Roman"/>
        </w:rPr>
        <w:t>Os resultados do estudo</w:t>
      </w:r>
      <w:r w:rsidRPr="000A32A3">
        <w:rPr>
          <w:rFonts w:cs="Times New Roman"/>
        </w:rPr>
        <w:t xml:space="preserve"> corrobora</w:t>
      </w:r>
      <w:r w:rsidR="006A7EDE" w:rsidRPr="000A32A3">
        <w:rPr>
          <w:rFonts w:cs="Times New Roman"/>
        </w:rPr>
        <w:t>m</w:t>
      </w:r>
      <w:r w:rsidRPr="000A32A3">
        <w:rPr>
          <w:rFonts w:cs="Times New Roman"/>
        </w:rPr>
        <w:t xml:space="preserve"> esta </w:t>
      </w:r>
      <w:r w:rsidR="006A7EDE" w:rsidRPr="000A32A3">
        <w:rPr>
          <w:rFonts w:cs="Times New Roman"/>
        </w:rPr>
        <w:t>ideia</w:t>
      </w:r>
      <w:r w:rsidRPr="000A32A3">
        <w:rPr>
          <w:rFonts w:cs="Times New Roman"/>
        </w:rPr>
        <w:t>, pois, especialmente a educação superior tem efeito positivo sobre a eficiência do gasto. O número de empregados qualificados foi determinante para elevar o número de empregos eficientemente. Além disso, esta variável teve efeito positivo no modelo com dois produtos.</w:t>
      </w:r>
    </w:p>
    <w:p w:rsidR="00CD16EF" w:rsidRPr="000A32A3" w:rsidRDefault="00CD16EF" w:rsidP="00982B81">
      <w:pPr>
        <w:spacing w:after="120" w:line="240" w:lineRule="auto"/>
        <w:ind w:firstLine="708"/>
        <w:rPr>
          <w:rFonts w:cs="Times New Roman"/>
        </w:rPr>
      </w:pPr>
      <w:r w:rsidRPr="000A32A3">
        <w:rPr>
          <w:rFonts w:cs="Times New Roman"/>
        </w:rPr>
        <w:lastRenderedPageBreak/>
        <w:t>No intervalo entre 2008 e 2011, as empresas de porte médio foram menos eficientes tanto na geração de empregos quanto na variação da remuneração média dos trabalhadores. A linha de Comércio e Serviços foi mais eficiente, em média, que a linha de Desenvolvimento Industrial no aumento da remuneração média. E as empresas de porte micro foram mais eficientes sobre o aumento do salário médio que as firmas de pequeno porte, as quais foram, em média, mais eficientes que as de médio e grande porte, no que diz respeito ao incremento de produtividade do trabalho.</w:t>
      </w:r>
    </w:p>
    <w:p w:rsidR="00CD16EF" w:rsidRPr="000A32A3" w:rsidRDefault="00CD16EF" w:rsidP="00982B81">
      <w:pPr>
        <w:spacing w:after="120" w:line="240" w:lineRule="auto"/>
        <w:ind w:firstLine="708"/>
        <w:rPr>
          <w:rFonts w:cs="Times New Roman"/>
        </w:rPr>
      </w:pPr>
      <w:r w:rsidRPr="000A32A3">
        <w:rPr>
          <w:rFonts w:cs="Times New Roman"/>
        </w:rPr>
        <w:t>Os coeficientes negativos do FCO nas estimativas acima sugerem que financiamentos menores são mais eficientes quanto ao objetivo de gerar empregos e elevar os salários. Entretanto, Oliveira, Menezes e Resende (2015) indicam que os empréstimos devem atingir determinado valor para ter escala e atender os objetivos acima. Por meio do efeito dose-resposta, eles verificam que o impacto do financiamento nas variações de emprego e salários não é linear. Assim, apesar da relação negativa encontrada, há um valor mínimo que justifique os custos da contratação.</w:t>
      </w:r>
    </w:p>
    <w:p w:rsidR="00833F59" w:rsidRPr="000A32A3" w:rsidRDefault="00CD16EF" w:rsidP="00833F59">
      <w:pPr>
        <w:spacing w:after="120" w:line="240" w:lineRule="auto"/>
        <w:ind w:firstLine="360"/>
        <w:rPr>
          <w:rFonts w:cs="Times New Roman"/>
        </w:rPr>
      </w:pPr>
      <w:r w:rsidRPr="000A32A3">
        <w:rPr>
          <w:rFonts w:cs="Times New Roman"/>
        </w:rPr>
        <w:t>Neste sentido, percebe-se que em ambos os intervalos determinado porte foi mais eficiente na geração de empregos e no aumento do salário médio, situação análoga às diferentes linhas de financiamento. Como os objetivos da política de financiamento constitucional são amplos (gerar desenvolvimento econômico e social), estes podem ser atingidos de distintas formas, a depender do parâmetro escolhido. Logo, avaliar a eficiência e seus determinantes é fundamental para embasar os gestores públicos a eleger as diretrizes da política de financiamento dos Fundos Constitucionais.</w:t>
      </w:r>
    </w:p>
    <w:p w:rsidR="009E7F62" w:rsidRPr="000A32A3" w:rsidRDefault="009E7F62" w:rsidP="00833F59">
      <w:pPr>
        <w:spacing w:after="120" w:line="240" w:lineRule="auto"/>
        <w:ind w:firstLine="360"/>
        <w:rPr>
          <w:rFonts w:cs="Times New Roman"/>
        </w:rPr>
      </w:pPr>
    </w:p>
    <w:p w:rsidR="00685A84" w:rsidRPr="000A32A3" w:rsidRDefault="00685A84" w:rsidP="00982B81">
      <w:pPr>
        <w:pStyle w:val="Ttulo1"/>
        <w:numPr>
          <w:ilvl w:val="0"/>
          <w:numId w:val="17"/>
        </w:numPr>
        <w:spacing w:before="0" w:after="120" w:line="240" w:lineRule="auto"/>
        <w:rPr>
          <w:rFonts w:cs="Times New Roman"/>
        </w:rPr>
      </w:pPr>
      <w:bookmarkStart w:id="10" w:name="_Toc445241617"/>
      <w:r w:rsidRPr="000A32A3">
        <w:rPr>
          <w:rFonts w:cs="Times New Roman"/>
        </w:rPr>
        <w:t>Considerações Finais</w:t>
      </w:r>
      <w:bookmarkEnd w:id="10"/>
    </w:p>
    <w:p w:rsidR="001A1223" w:rsidRPr="000A32A3" w:rsidRDefault="001A1223" w:rsidP="008422D2"/>
    <w:p w:rsidR="00DD0957" w:rsidRPr="000A32A3" w:rsidRDefault="00E74B76" w:rsidP="00982B81">
      <w:pPr>
        <w:spacing w:after="120" w:line="240" w:lineRule="auto"/>
        <w:ind w:firstLine="708"/>
        <w:rPr>
          <w:rFonts w:cs="Times New Roman"/>
        </w:rPr>
      </w:pPr>
      <w:r w:rsidRPr="000A32A3">
        <w:rPr>
          <w:rFonts w:cs="Times New Roman"/>
        </w:rPr>
        <w:t xml:space="preserve">O estudo mostra que existe </w:t>
      </w:r>
      <w:r w:rsidR="00CD16EF" w:rsidRPr="000A32A3">
        <w:rPr>
          <w:rFonts w:cs="Times New Roman"/>
        </w:rPr>
        <w:t xml:space="preserve">uma relevante variabilidade na eficiência alocativa dos empréstimos, no que diz respeito à geração de emprego e incremento de salários. Assim, os resultados sugerem que há oportunidade para elevar o número de empregos e a produtividade da economia goiana somente com o melhor aproveitamento dos recursos disponíveis. Uma das principais metas do fundo é elevar a renda da macrorregião, diminuindo sua disparidade em relação ao sul/sudeste do país. </w:t>
      </w:r>
    </w:p>
    <w:p w:rsidR="00DD0957" w:rsidRPr="000A32A3" w:rsidRDefault="00CD16EF" w:rsidP="00982B81">
      <w:pPr>
        <w:spacing w:after="120" w:line="240" w:lineRule="auto"/>
        <w:ind w:firstLine="708"/>
        <w:rPr>
          <w:rFonts w:cs="Times New Roman"/>
        </w:rPr>
      </w:pPr>
      <w:r w:rsidRPr="000A32A3">
        <w:rPr>
          <w:rFonts w:cs="Times New Roman"/>
        </w:rPr>
        <w:t xml:space="preserve">Os resultados </w:t>
      </w:r>
      <w:r w:rsidR="005F69C2" w:rsidRPr="000A32A3">
        <w:rPr>
          <w:rFonts w:cs="Times New Roman"/>
        </w:rPr>
        <w:t>do trabalho</w:t>
      </w:r>
      <w:r w:rsidRPr="000A32A3">
        <w:rPr>
          <w:rFonts w:cs="Times New Roman"/>
        </w:rPr>
        <w:t xml:space="preserve"> complementam, em certa medida, as análises de Resende, Cravo e Pires (2014) e Oliveira, Menezes e Resende (2015), que encontram impactos positivos do FCO Empresarial na geração de renda, mas não abordam a questão da eficiência. De acordo com a presente análise, as firmas de porte micro, além dos financiamentos de menor valor tiveram uma maior eficiência na geração de emprego. Logo, apesar de existir o impacto, priorizar os investimentos com esta perspectiva pode ser uma maneira mais eficiente de gerar empregos. </w:t>
      </w:r>
    </w:p>
    <w:p w:rsidR="000C6D77" w:rsidRPr="000A32A3" w:rsidRDefault="000C6D77" w:rsidP="000C6D77">
      <w:pPr>
        <w:spacing w:after="120" w:line="240" w:lineRule="auto"/>
        <w:ind w:firstLine="708"/>
        <w:rPr>
          <w:rFonts w:cs="Times New Roman"/>
        </w:rPr>
      </w:pPr>
      <w:r w:rsidRPr="000A32A3">
        <w:rPr>
          <w:rFonts w:cs="Times New Roman"/>
        </w:rPr>
        <w:t xml:space="preserve">Uma das razões que explica a ineficiência dos fundos é a falta de monitoramento </w:t>
      </w:r>
      <w:r w:rsidRPr="000A32A3">
        <w:rPr>
          <w:rFonts w:cs="Times New Roman"/>
          <w:i/>
        </w:rPr>
        <w:t>ex post</w:t>
      </w:r>
      <w:r w:rsidRPr="000A32A3">
        <w:rPr>
          <w:rFonts w:cs="Times New Roman"/>
        </w:rPr>
        <w:t xml:space="preserve"> dos projetos. Neste sentido, esta pesquisa mitiga este problema ao investigar como as empresas se comportaram, em relação ao emprego e salários comparativamente ao valor do financiamento recebido. O estudo aponta diretrizes para os Fundos Constitucionais em relação à eficiência das linhas e portes de financiamentos. </w:t>
      </w:r>
    </w:p>
    <w:p w:rsidR="000C6D77" w:rsidRPr="000A32A3" w:rsidRDefault="000C6D77" w:rsidP="000C6D77">
      <w:pPr>
        <w:spacing w:after="120" w:line="240" w:lineRule="auto"/>
        <w:ind w:firstLine="708"/>
        <w:rPr>
          <w:rFonts w:cs="Times New Roman"/>
        </w:rPr>
      </w:pPr>
      <w:r w:rsidRPr="000A32A3">
        <w:rPr>
          <w:rFonts w:cs="Times New Roman"/>
        </w:rPr>
        <w:t xml:space="preserve">Além disso, os resultados, em termos de geração de empregos e aumento de salários, fatores que contribuem para o desenvolvimento regional, poderiam ser melhores. O Ministério </w:t>
      </w:r>
      <w:r w:rsidRPr="000A32A3">
        <w:rPr>
          <w:rFonts w:cs="Times New Roman"/>
        </w:rPr>
        <w:lastRenderedPageBreak/>
        <w:t>da Integração Nacional (2012) mostra que riscos inerentes às operações contratadas com recursos dos Fundos Constitucionais são suportados pelos diferentes agentes</w:t>
      </w:r>
      <w:r w:rsidR="00CB1587" w:rsidRPr="000A32A3">
        <w:rPr>
          <w:rFonts w:cs="Times New Roman"/>
        </w:rPr>
        <w:t xml:space="preserve"> participantes da política. No caso dos bancos, o objetivo de maximizar lucro pode se sobrepor à meta diminuir as disparidades regionais, influenciando os resultados almejados pela política.  </w:t>
      </w:r>
    </w:p>
    <w:p w:rsidR="00B3293A" w:rsidRPr="000A32A3" w:rsidRDefault="00CD16EF" w:rsidP="00982B81">
      <w:pPr>
        <w:spacing w:after="120" w:line="240" w:lineRule="auto"/>
        <w:ind w:firstLine="708"/>
        <w:rPr>
          <w:rFonts w:cs="Times New Roman"/>
        </w:rPr>
      </w:pPr>
      <w:r w:rsidRPr="000A32A3">
        <w:rPr>
          <w:rFonts w:cs="Times New Roman"/>
        </w:rPr>
        <w:t>Uma limitação do estudo foi não abordar o nível de capital das empresas como insumo, o que levou a suposição de que as firmas tinham funções de produção similares, inclusive com a mesma razão capital trabalho. Portanto, trabalhos futuros podem usar dados da Pesquisa Industrial Anual (PIA/IBGE) para levar em conta este fator de produção.</w:t>
      </w:r>
    </w:p>
    <w:p w:rsidR="00466EAC" w:rsidRPr="000A32A3" w:rsidRDefault="00466EAC" w:rsidP="00466EAC">
      <w:pPr>
        <w:spacing w:after="120" w:line="240" w:lineRule="auto"/>
        <w:ind w:firstLine="708"/>
        <w:rPr>
          <w:rFonts w:cs="Times New Roman"/>
        </w:rPr>
      </w:pPr>
      <w:r w:rsidRPr="000A32A3">
        <w:rPr>
          <w:rFonts w:cs="Times New Roman"/>
        </w:rPr>
        <w:t xml:space="preserve">Alguns estudos abordam a questão da espacialidade e utilizam outros métodos para verificar os fatores que influenciam a eficiência (SCHAFFER </w:t>
      </w:r>
      <w:r w:rsidRPr="000A32A3">
        <w:rPr>
          <w:rFonts w:cs="Times New Roman"/>
          <w:i/>
        </w:rPr>
        <w:t>et al.</w:t>
      </w:r>
      <w:r w:rsidRPr="000A32A3">
        <w:rPr>
          <w:rFonts w:cs="Times New Roman"/>
        </w:rPr>
        <w:t xml:space="preserve">, 2010; SOUSA; SOUZA, 2014). Novas avaliações precisam ser realizadas, inclusive, comparando os casos dos três fundos. É preciso aprofundar a análise: setorialmente, pois neste caso é preciso incorporar o programa Rural; espacialmente, já que foi verificado que o fundo possui tendência à concentração (CRAVO </w:t>
      </w:r>
      <w:r w:rsidRPr="000A32A3">
        <w:rPr>
          <w:rFonts w:cs="Times New Roman"/>
          <w:i/>
        </w:rPr>
        <w:t>et al.</w:t>
      </w:r>
      <w:r w:rsidRPr="000A32A3">
        <w:rPr>
          <w:rFonts w:cs="Times New Roman"/>
        </w:rPr>
        <w:t>, 2014; MACEDO; MATTOS, 2008); e, as relações de encadeamento, de modo a entender o impacto do financiamento nas atividades externas à empresa beneficiada.</w:t>
      </w:r>
    </w:p>
    <w:p w:rsidR="00CD16EF" w:rsidRPr="000A32A3" w:rsidRDefault="00CD16EF" w:rsidP="00982B81">
      <w:pPr>
        <w:spacing w:after="120" w:line="240" w:lineRule="auto"/>
        <w:ind w:firstLine="708"/>
        <w:rPr>
          <w:rFonts w:cs="Times New Roman"/>
        </w:rPr>
      </w:pPr>
      <w:r w:rsidRPr="000A32A3">
        <w:rPr>
          <w:rFonts w:cs="Times New Roman"/>
        </w:rPr>
        <w:t>Vale ressaltar que as ineficiências também podem ser causadas por fatores exógenos que estão fora do controle dos gestores públicos, tais como fatores políticos ou do próprio mercado. Sua inclusão diretamente no modelo não é simples, inclusive, por elevar o número de parâmetros, dificultando ainda mais as estimações. Por fim, ressalta-se que os Fundos Constitucionais são apenas um dos instrumentos da PNDR. Sua capacidade de impulsionar o desenvolvimento regional é limitada pela atuação do setor produtivo. Além disso, exige complementaridade de outras ações mais amplas, como investimento em infraestrutura, por exemplo, para que possa gerar efeitos intra e inter-regionais, assim como de longo prazo.</w:t>
      </w:r>
    </w:p>
    <w:p w:rsidR="00685A84" w:rsidRPr="000A32A3" w:rsidRDefault="00685A84" w:rsidP="008422D2">
      <w:pPr>
        <w:pStyle w:val="Ttulo1"/>
        <w:spacing w:line="240" w:lineRule="auto"/>
        <w:rPr>
          <w:rFonts w:cs="Times New Roman"/>
          <w:lang w:val="en-US"/>
        </w:rPr>
      </w:pPr>
      <w:bookmarkStart w:id="11" w:name="_Toc445241618"/>
      <w:r w:rsidRPr="000A32A3">
        <w:rPr>
          <w:rFonts w:cs="Times New Roman"/>
          <w:lang w:val="en-US"/>
        </w:rPr>
        <w:t>Referências</w:t>
      </w:r>
      <w:bookmarkEnd w:id="11"/>
    </w:p>
    <w:p w:rsidR="002D17A0" w:rsidRPr="000A32A3" w:rsidRDefault="002D17A0" w:rsidP="00982B81">
      <w:pPr>
        <w:spacing w:after="100" w:afterAutospacing="1" w:line="240" w:lineRule="auto"/>
        <w:rPr>
          <w:rFonts w:cs="Times New Roman"/>
          <w:lang w:val="en-US"/>
        </w:rPr>
      </w:pPr>
    </w:p>
    <w:p w:rsidR="00CD16EF" w:rsidRPr="000A32A3" w:rsidRDefault="00CD16EF" w:rsidP="00982B81">
      <w:pPr>
        <w:spacing w:after="100" w:afterAutospacing="1" w:line="240" w:lineRule="auto"/>
        <w:rPr>
          <w:rFonts w:cs="Times New Roman"/>
        </w:rPr>
      </w:pPr>
      <w:r w:rsidRPr="000A32A3">
        <w:rPr>
          <w:rFonts w:cs="Times New Roman"/>
          <w:lang w:val="en-US"/>
        </w:rPr>
        <w:t>AFONSO, A.; FERNANDES, S. Local Government Spending Efficiency: DEA Evidence for the Lisbon Region.</w:t>
      </w:r>
      <w:r w:rsidRPr="000A32A3">
        <w:rPr>
          <w:rFonts w:cs="Times New Roman"/>
          <w:b/>
          <w:lang w:val="en-US"/>
        </w:rPr>
        <w:t xml:space="preserve"> </w:t>
      </w:r>
      <w:r w:rsidRPr="000A32A3">
        <w:rPr>
          <w:rFonts w:cs="Times New Roman"/>
          <w:b/>
        </w:rPr>
        <w:t>Regional Studies</w:t>
      </w:r>
      <w:r w:rsidRPr="000A32A3">
        <w:rPr>
          <w:rFonts w:cs="Times New Roman"/>
        </w:rPr>
        <w:t>, 40, pp. 39-53, 2006.</w:t>
      </w:r>
    </w:p>
    <w:p w:rsidR="00CD16EF" w:rsidRPr="000A32A3" w:rsidRDefault="00CD16EF" w:rsidP="00982B81">
      <w:pPr>
        <w:spacing w:after="100" w:afterAutospacing="1" w:line="240" w:lineRule="auto"/>
        <w:rPr>
          <w:rFonts w:cs="Times New Roman"/>
        </w:rPr>
      </w:pPr>
      <w:r w:rsidRPr="000A32A3">
        <w:rPr>
          <w:rFonts w:cs="Times New Roman"/>
        </w:rPr>
        <w:t xml:space="preserve">ALMEIDA, M. A.; SILVA, A. M.; RESENDE, G. M. Uma análise dos fundos Constitucionais de Financiamento do Nordeste (FNE), norte (FNO) e centro-oeste (FCO). </w:t>
      </w:r>
      <w:r w:rsidRPr="000A32A3">
        <w:rPr>
          <w:rFonts w:cs="Times New Roman"/>
          <w:b/>
        </w:rPr>
        <w:t>Texto para Discussão N. 1206,</w:t>
      </w:r>
      <w:r w:rsidRPr="000A32A3">
        <w:rPr>
          <w:rFonts w:cs="Times New Roman"/>
        </w:rPr>
        <w:t xml:space="preserve"> IPEA, Brasília, 2006.</w:t>
      </w:r>
    </w:p>
    <w:p w:rsidR="00B06DF8" w:rsidRPr="000A32A3" w:rsidRDefault="00B06DF8" w:rsidP="00B06DF8">
      <w:pPr>
        <w:spacing w:after="100" w:afterAutospacing="1" w:line="240" w:lineRule="auto"/>
        <w:rPr>
          <w:rFonts w:cs="Times New Roman"/>
        </w:rPr>
      </w:pPr>
      <w:r w:rsidRPr="000A32A3">
        <w:rPr>
          <w:rFonts w:cs="Times New Roman"/>
        </w:rPr>
        <w:t xml:space="preserve">ALVARENGA, G. V.; PIANTO, D. M.; ARAÚJO, B. A. Impactos dos fundos setoriais nas empresas: novas perspectivas a partir da função dose-resposta. </w:t>
      </w:r>
      <w:r w:rsidRPr="000A32A3">
        <w:rPr>
          <w:rFonts w:cs="Times New Roman"/>
          <w:b/>
        </w:rPr>
        <w:t>Prêmio CNI de Economia</w:t>
      </w:r>
      <w:r w:rsidR="00E94474" w:rsidRPr="000A32A3">
        <w:rPr>
          <w:rFonts w:cs="Times New Roman"/>
          <w:b/>
        </w:rPr>
        <w:t>.</w:t>
      </w:r>
      <w:r w:rsidRPr="000A32A3">
        <w:rPr>
          <w:rFonts w:cs="Times New Roman"/>
        </w:rPr>
        <w:t xml:space="preserve"> 2012.</w:t>
      </w:r>
    </w:p>
    <w:p w:rsidR="00CD16EF" w:rsidRPr="000A32A3" w:rsidRDefault="00CD16EF" w:rsidP="00982B81">
      <w:pPr>
        <w:spacing w:after="100" w:afterAutospacing="1" w:line="240" w:lineRule="auto"/>
        <w:rPr>
          <w:rFonts w:cs="Times New Roman"/>
        </w:rPr>
      </w:pPr>
      <w:r w:rsidRPr="000A32A3">
        <w:rPr>
          <w:rFonts w:cs="Times New Roman"/>
          <w:lang w:val="en-US"/>
        </w:rPr>
        <w:t>BANKER, R. D.; CHARNES, A.; COOPER, W. W. Some models for estimating technical and scale inefficiencies in data envelopment analysis</w:t>
      </w:r>
      <w:r w:rsidRPr="000A32A3">
        <w:rPr>
          <w:rFonts w:cs="Times New Roman"/>
          <w:b/>
          <w:lang w:val="en-US"/>
        </w:rPr>
        <w:t xml:space="preserve">. </w:t>
      </w:r>
      <w:r w:rsidRPr="000A32A3">
        <w:rPr>
          <w:rFonts w:cs="Times New Roman"/>
          <w:b/>
        </w:rPr>
        <w:t>Management Science</w:t>
      </w:r>
      <w:r w:rsidRPr="000A32A3">
        <w:rPr>
          <w:rFonts w:cs="Times New Roman"/>
        </w:rPr>
        <w:t>. v. 30, n.9 p.1370-1382, 1984.</w:t>
      </w:r>
    </w:p>
    <w:p w:rsidR="00CD16EF" w:rsidRPr="000A32A3" w:rsidRDefault="00CD16EF" w:rsidP="00982B81">
      <w:pPr>
        <w:spacing w:after="100" w:afterAutospacing="1" w:line="240" w:lineRule="auto"/>
        <w:rPr>
          <w:rFonts w:cs="Times New Roman"/>
        </w:rPr>
      </w:pPr>
      <w:r w:rsidRPr="000A32A3">
        <w:rPr>
          <w:rFonts w:cs="Times New Roman"/>
        </w:rPr>
        <w:t xml:space="preserve">BENEGAS, M.; SILVA, F. G. Estimação da Eficiência Técnica do SUS nos </w:t>
      </w:r>
      <w:r w:rsidR="00C41217" w:rsidRPr="000A32A3">
        <w:rPr>
          <w:rFonts w:cs="Times New Roman"/>
        </w:rPr>
        <w:t>Estado</w:t>
      </w:r>
      <w:r w:rsidRPr="000A32A3">
        <w:rPr>
          <w:rFonts w:cs="Times New Roman"/>
        </w:rPr>
        <w:t xml:space="preserve">s Brasileiros na Presença de Insumos Não-Discricionários.  </w:t>
      </w:r>
      <w:r w:rsidRPr="000A32A3">
        <w:rPr>
          <w:rFonts w:cs="Times New Roman"/>
          <w:b/>
        </w:rPr>
        <w:t>Revista Brasileira de Economia</w:t>
      </w:r>
      <w:r w:rsidRPr="000A32A3">
        <w:rPr>
          <w:rFonts w:cs="Times New Roman"/>
        </w:rPr>
        <w:t>, Rio de Janeiro, v. 68 n. 2, pgs. 171–196, Abr-Jun, 2014.</w:t>
      </w:r>
    </w:p>
    <w:p w:rsidR="00CD16EF" w:rsidRPr="000A32A3" w:rsidRDefault="00CD16EF" w:rsidP="00982B81">
      <w:pPr>
        <w:spacing w:after="100" w:afterAutospacing="1" w:line="240" w:lineRule="auto"/>
        <w:rPr>
          <w:rFonts w:cs="Times New Roman"/>
        </w:rPr>
      </w:pPr>
      <w:r w:rsidRPr="000A32A3">
        <w:rPr>
          <w:rFonts w:cs="Times New Roman"/>
        </w:rPr>
        <w:lastRenderedPageBreak/>
        <w:t xml:space="preserve">BOUERI, R.; ROCHA, F.; RODOPOULOS, F. </w:t>
      </w:r>
      <w:r w:rsidRPr="000A32A3">
        <w:rPr>
          <w:rFonts w:cs="Times New Roman"/>
          <w:b/>
        </w:rPr>
        <w:t>Avaliação da Qualidade do Gasto Público e Mensuração da Eficiência</w:t>
      </w:r>
      <w:r w:rsidRPr="000A32A3">
        <w:rPr>
          <w:rFonts w:cs="Times New Roman"/>
        </w:rPr>
        <w:t>. Brasília: Secretaria do Tesouro Nacional, 2015.</w:t>
      </w:r>
    </w:p>
    <w:p w:rsidR="00CD16EF" w:rsidRPr="000A32A3" w:rsidRDefault="00CD16EF" w:rsidP="00982B81">
      <w:pPr>
        <w:spacing w:after="100" w:afterAutospacing="1" w:line="240" w:lineRule="auto"/>
        <w:rPr>
          <w:rFonts w:cs="Times New Roman"/>
          <w:lang w:val="en-US"/>
        </w:rPr>
      </w:pPr>
      <w:r w:rsidRPr="000A32A3">
        <w:rPr>
          <w:rFonts w:cs="Times New Roman"/>
        </w:rPr>
        <w:t xml:space="preserve">CAZALS, C.; FLORENS, J. P.; SIMAR, L. Nonparametric Frontier Estimation: A Robust Approach. </w:t>
      </w:r>
      <w:r w:rsidRPr="000A32A3">
        <w:rPr>
          <w:rFonts w:cs="Times New Roman"/>
          <w:b/>
          <w:lang w:val="en-US"/>
        </w:rPr>
        <w:t>Journal of Econometrics</w:t>
      </w:r>
      <w:r w:rsidRPr="000A32A3">
        <w:rPr>
          <w:rFonts w:cs="Times New Roman"/>
          <w:lang w:val="en-US"/>
        </w:rPr>
        <w:t>, 106: 1–25, 2002.</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CHARNES, A; COOPER, W.W.; RHODES, E. Measuring the efficiency of decision making units. </w:t>
      </w:r>
      <w:r w:rsidRPr="000A32A3">
        <w:rPr>
          <w:rFonts w:cs="Times New Roman"/>
          <w:b/>
          <w:lang w:val="en-US"/>
        </w:rPr>
        <w:t>European Journal of Operational Research</w:t>
      </w:r>
      <w:r w:rsidRPr="000A32A3">
        <w:rPr>
          <w:rFonts w:cs="Times New Roman"/>
          <w:lang w:val="en-US"/>
        </w:rPr>
        <w:t>, v. 2, n. 6, p. 429-444, 1978.</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CRAVO, T. A.; RESENDE, G. M.; CARVALHO, A. Y. The Impact of Brazilian Regional Development Funds on Regional Economic Growth: A spatial panel approach. </w:t>
      </w:r>
      <w:r w:rsidRPr="000A32A3">
        <w:rPr>
          <w:rFonts w:cs="Times New Roman"/>
          <w:b/>
          <w:lang w:val="en-US"/>
        </w:rPr>
        <w:t>54th ERSA Congress</w:t>
      </w:r>
      <w:r w:rsidRPr="000A32A3">
        <w:rPr>
          <w:rFonts w:cs="Times New Roman"/>
          <w:lang w:val="en-US"/>
        </w:rPr>
        <w:t>, 26-29, Saint Petersburg, Russia, August, 2014.</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DEPRINS, D., SIMAR, L., </w:t>
      </w:r>
      <w:r w:rsidR="005C6361" w:rsidRPr="000A32A3">
        <w:rPr>
          <w:rFonts w:cs="Times New Roman"/>
          <w:lang w:val="en-US"/>
        </w:rPr>
        <w:t>TULKENS, H. Measuring labor inefficiency</w:t>
      </w:r>
      <w:r w:rsidRPr="000A32A3">
        <w:rPr>
          <w:rFonts w:cs="Times New Roman"/>
          <w:lang w:val="en-US"/>
        </w:rPr>
        <w:t xml:space="preserve"> in post o:ces. In: Marchand, M., Pestieau, P., Tulkens, H. (Eds.), </w:t>
      </w:r>
      <w:r w:rsidRPr="000A32A3">
        <w:rPr>
          <w:rFonts w:cs="Times New Roman"/>
          <w:b/>
          <w:lang w:val="en-US"/>
        </w:rPr>
        <w:t>The Performance of Public Enterprises: Concepts and Measurements.</w:t>
      </w:r>
      <w:r w:rsidRPr="000A32A3">
        <w:rPr>
          <w:rFonts w:cs="Times New Roman"/>
          <w:lang w:val="en-US"/>
        </w:rPr>
        <w:t xml:space="preserve"> Amsterdam, North-Holland, pp. 243–267, 1984.</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FARRELL, M. The measurement of productive efficiency. </w:t>
      </w:r>
      <w:r w:rsidRPr="000A32A3">
        <w:rPr>
          <w:rFonts w:cs="Times New Roman"/>
          <w:b/>
          <w:lang w:val="en-US"/>
        </w:rPr>
        <w:t>Journal of the Royal Statistical Society,</w:t>
      </w:r>
      <w:r w:rsidRPr="000A32A3">
        <w:rPr>
          <w:rFonts w:cs="Times New Roman"/>
          <w:lang w:val="en-US"/>
        </w:rPr>
        <w:t xml:space="preserve"> Series A, Vol. 120, N. 3, 1957. </w:t>
      </w:r>
    </w:p>
    <w:p w:rsidR="00CD16EF" w:rsidRPr="000A32A3" w:rsidRDefault="00CD16EF" w:rsidP="00982B81">
      <w:pPr>
        <w:spacing w:after="100" w:afterAutospacing="1" w:line="240" w:lineRule="auto"/>
        <w:rPr>
          <w:rFonts w:cs="Times New Roman"/>
        </w:rPr>
      </w:pPr>
      <w:r w:rsidRPr="000A32A3">
        <w:rPr>
          <w:rFonts w:cs="Times New Roman"/>
        </w:rPr>
        <w:t xml:space="preserve">FERREIRA, M. A.; BRAGA, M. J. Eficiência das Sociedades Cooperativas e de Capital na Indústria de Laticínios. </w:t>
      </w:r>
      <w:r w:rsidRPr="000A32A3">
        <w:rPr>
          <w:rFonts w:cs="Times New Roman"/>
          <w:b/>
        </w:rPr>
        <w:t>Revista Brasileira de Economia</w:t>
      </w:r>
      <w:r w:rsidRPr="000A32A3">
        <w:rPr>
          <w:rFonts w:cs="Times New Roman"/>
        </w:rPr>
        <w:t>, Rio de Janeiro, v. 61 n. 2, p. 231–244, Abr-Jul, 2007.</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FRIED, H.; LOVELL, C. A. K.; SCHMIDT, S. S. Efficiency and Productivity. In: FRIED, H.; LOVELL, C. A. K.; SCHMIDT, S. S. </w:t>
      </w:r>
      <w:r w:rsidRPr="000A32A3">
        <w:rPr>
          <w:rFonts w:cs="Times New Roman"/>
          <w:b/>
          <w:lang w:val="en-US"/>
        </w:rPr>
        <w:t>The Measurement of Productive Efficiency and Productivity Growth</w:t>
      </w:r>
      <w:r w:rsidRPr="000A32A3">
        <w:rPr>
          <w:rFonts w:cs="Times New Roman"/>
          <w:lang w:val="en-US"/>
        </w:rPr>
        <w:t xml:space="preserve">. </w:t>
      </w:r>
      <w:r w:rsidRPr="000A32A3">
        <w:rPr>
          <w:rFonts w:cs="Times New Roman"/>
        </w:rPr>
        <w:t>Oxford University Press, 2008.</w:t>
      </w:r>
    </w:p>
    <w:p w:rsidR="00CD16EF" w:rsidRPr="000A32A3" w:rsidRDefault="00CD16EF" w:rsidP="00982B81">
      <w:pPr>
        <w:spacing w:after="100" w:afterAutospacing="1" w:line="240" w:lineRule="auto"/>
        <w:rPr>
          <w:rFonts w:cs="Times New Roman"/>
        </w:rPr>
      </w:pPr>
      <w:r w:rsidRPr="000A32A3">
        <w:rPr>
          <w:rFonts w:cs="Times New Roman"/>
        </w:rPr>
        <w:t xml:space="preserve">GONÇALVES, F. O.; FRANÇA, M. T. Eficiência na Provisão de Educação Pública Municipal: Uma Análise em três Estágios dos Municípios Brasileiros. </w:t>
      </w:r>
      <w:r w:rsidRPr="000A32A3">
        <w:rPr>
          <w:rFonts w:cs="Times New Roman"/>
          <w:b/>
        </w:rPr>
        <w:t>Estudos Econômicos</w:t>
      </w:r>
      <w:r w:rsidRPr="000A32A3">
        <w:rPr>
          <w:rFonts w:cs="Times New Roman"/>
        </w:rPr>
        <w:t>, São Paulo, vol. 43, n.2, p. 271-299, abr.-jun., 2013.</w:t>
      </w:r>
    </w:p>
    <w:p w:rsidR="00CD16EF" w:rsidRPr="000A32A3" w:rsidRDefault="00CD16EF" w:rsidP="00982B81">
      <w:pPr>
        <w:spacing w:after="100" w:afterAutospacing="1" w:line="240" w:lineRule="auto"/>
        <w:rPr>
          <w:rFonts w:cs="Times New Roman"/>
        </w:rPr>
      </w:pPr>
      <w:r w:rsidRPr="000A32A3">
        <w:rPr>
          <w:rFonts w:cs="Times New Roman"/>
        </w:rPr>
        <w:t xml:space="preserve">INSTITUTO DE PESQUISA ECONÔMICA APLICADA – IPEA. </w:t>
      </w:r>
      <w:r w:rsidRPr="000A32A3">
        <w:rPr>
          <w:rFonts w:cs="Times New Roman"/>
          <w:b/>
        </w:rPr>
        <w:t>Carta de Conjuntura,</w:t>
      </w:r>
      <w:r w:rsidRPr="000A32A3">
        <w:rPr>
          <w:rFonts w:cs="Times New Roman"/>
        </w:rPr>
        <w:t xml:space="preserve">  nº 18, Março, 2013.</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KARKAZIS, J. THANASSOULIS, E. Assessing the Effectiveness of Regional Development Policies in Northern Greece Using Data Envelopment Analysis. </w:t>
      </w:r>
      <w:r w:rsidRPr="000A32A3">
        <w:rPr>
          <w:rFonts w:cs="Times New Roman"/>
          <w:b/>
          <w:lang w:val="en-US"/>
        </w:rPr>
        <w:t>Socio-Economic Planning Sciences</w:t>
      </w:r>
      <w:r w:rsidRPr="000A32A3">
        <w:rPr>
          <w:rFonts w:cs="Times New Roman"/>
          <w:lang w:val="en-US"/>
        </w:rPr>
        <w:t>. Vol. 32, No. 2, pp. 123-137, 1998.</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LIU, S.; LU, Y.; LU, W.; LIN, Y. A survey of DEA applications. Omega, The International Journal of </w:t>
      </w:r>
      <w:r w:rsidRPr="000A32A3">
        <w:rPr>
          <w:rFonts w:cs="Times New Roman"/>
          <w:b/>
          <w:lang w:val="en-US"/>
        </w:rPr>
        <w:t>Management Science</w:t>
      </w:r>
      <w:r w:rsidRPr="000A32A3">
        <w:rPr>
          <w:rFonts w:cs="Times New Roman"/>
          <w:lang w:val="en-US"/>
        </w:rPr>
        <w:t>, n. 41, pg. 893–902, 2013.</w:t>
      </w:r>
    </w:p>
    <w:p w:rsidR="00CD16EF" w:rsidRPr="000A32A3" w:rsidRDefault="00CD16EF" w:rsidP="00982B81">
      <w:pPr>
        <w:spacing w:after="100" w:afterAutospacing="1" w:line="240" w:lineRule="auto"/>
        <w:rPr>
          <w:rFonts w:cs="Times New Roman"/>
        </w:rPr>
      </w:pPr>
      <w:r w:rsidRPr="000A32A3">
        <w:rPr>
          <w:rFonts w:cs="Times New Roman"/>
        </w:rPr>
        <w:t xml:space="preserve">LIMA, F. S.; MARINHO, E. Segurança Pública no Brasil: Eficiência e Defasagem Tecnológica. In: </w:t>
      </w:r>
      <w:r w:rsidRPr="000A32A3">
        <w:rPr>
          <w:rFonts w:cs="Times New Roman"/>
          <w:b/>
        </w:rPr>
        <w:t>Anais do 42º Encontro Nacional de Economia (Anpec)</w:t>
      </w:r>
      <w:r w:rsidRPr="000A32A3">
        <w:rPr>
          <w:rFonts w:cs="Times New Roman"/>
        </w:rPr>
        <w:t>, Natal-RN, 2014.</w:t>
      </w:r>
    </w:p>
    <w:p w:rsidR="00CD16EF" w:rsidRPr="000A32A3" w:rsidRDefault="00CD16EF" w:rsidP="00982B81">
      <w:pPr>
        <w:spacing w:after="100" w:afterAutospacing="1" w:line="240" w:lineRule="auto"/>
        <w:rPr>
          <w:rFonts w:cs="Times New Roman"/>
          <w:lang w:val="en-US"/>
        </w:rPr>
      </w:pPr>
      <w:r w:rsidRPr="000A32A3">
        <w:rPr>
          <w:rFonts w:cs="Times New Roman"/>
        </w:rPr>
        <w:t xml:space="preserve">MACEDO, F. C.; MATTOS, E. N. O papel dos fundos constitucionais de financiamento no desenvolvimento regional brasileiro. </w:t>
      </w:r>
      <w:r w:rsidRPr="000A32A3">
        <w:rPr>
          <w:rFonts w:cs="Times New Roman"/>
          <w:b/>
          <w:lang w:val="en-US"/>
        </w:rPr>
        <w:t>Ensaios FEE</w:t>
      </w:r>
      <w:r w:rsidRPr="000A32A3">
        <w:rPr>
          <w:rFonts w:cs="Times New Roman"/>
          <w:lang w:val="en-US"/>
        </w:rPr>
        <w:t>, Porto Alegre, v. 29, n. 2, pgs. 355-384, 2008.</w:t>
      </w:r>
    </w:p>
    <w:p w:rsidR="00CD16EF" w:rsidRPr="000A32A3" w:rsidRDefault="00CD16EF" w:rsidP="00982B81">
      <w:pPr>
        <w:spacing w:after="100" w:afterAutospacing="1" w:line="240" w:lineRule="auto"/>
        <w:rPr>
          <w:rFonts w:cs="Times New Roman"/>
          <w:lang w:val="en-US"/>
        </w:rPr>
      </w:pPr>
      <w:r w:rsidRPr="000A32A3">
        <w:rPr>
          <w:rFonts w:cs="Times New Roman"/>
          <w:lang w:val="en-US"/>
        </w:rPr>
        <w:lastRenderedPageBreak/>
        <w:t xml:space="preserve">MACMILLAN, W. The estimation and applications of multi-regional economic planning models using data environment analysis. </w:t>
      </w:r>
      <w:r w:rsidRPr="000A32A3">
        <w:rPr>
          <w:rFonts w:cs="Times New Roman"/>
          <w:b/>
          <w:lang w:val="en-US"/>
        </w:rPr>
        <w:t>Papers of Regional Science Association</w:t>
      </w:r>
      <w:r w:rsidRPr="000A32A3">
        <w:rPr>
          <w:rFonts w:cs="Times New Roman"/>
          <w:lang w:val="en-US"/>
        </w:rPr>
        <w:t>, Vol. 60, pgs. 41-57, 1986.</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MARTIC, M.; SAVIC, G. An application of DEA for comparative analysis and ranking of regions in Serbia with regards to social-economic development. </w:t>
      </w:r>
      <w:r w:rsidRPr="000A32A3">
        <w:rPr>
          <w:rFonts w:cs="Times New Roman"/>
          <w:b/>
        </w:rPr>
        <w:t>Jornal of Operational Research</w:t>
      </w:r>
      <w:r w:rsidRPr="000A32A3">
        <w:rPr>
          <w:rFonts w:cs="Times New Roman"/>
        </w:rPr>
        <w:t>, vol. 132, pgs. 343-356, 2001.</w:t>
      </w:r>
    </w:p>
    <w:p w:rsidR="00CD16EF" w:rsidRPr="000A32A3" w:rsidRDefault="00CD16EF" w:rsidP="00982B81">
      <w:pPr>
        <w:spacing w:after="100" w:afterAutospacing="1" w:line="240" w:lineRule="auto"/>
        <w:rPr>
          <w:rFonts w:cs="Times New Roman"/>
        </w:rPr>
      </w:pPr>
      <w:r w:rsidRPr="000A32A3">
        <w:rPr>
          <w:rFonts w:cs="Times New Roman"/>
        </w:rPr>
        <w:t>MINISTÉRIO DA INTEGRAÇÃO NACIONAL</w:t>
      </w:r>
      <w:r w:rsidR="00DF10A8" w:rsidRPr="000A32A3">
        <w:rPr>
          <w:rFonts w:cs="Times New Roman"/>
        </w:rPr>
        <w:t xml:space="preserve"> - MI</w:t>
      </w:r>
      <w:r w:rsidRPr="000A32A3">
        <w:rPr>
          <w:rFonts w:cs="Times New Roman"/>
        </w:rPr>
        <w:t xml:space="preserve">. </w:t>
      </w:r>
      <w:r w:rsidRPr="000A32A3">
        <w:rPr>
          <w:rFonts w:cs="Times New Roman"/>
          <w:b/>
        </w:rPr>
        <w:t>Política Nacional de Desenvolvimento Regional – PNDR.</w:t>
      </w:r>
      <w:r w:rsidRPr="000A32A3">
        <w:rPr>
          <w:rFonts w:cs="Times New Roman"/>
        </w:rPr>
        <w:t xml:space="preserve"> Sumário executivo, 2007.</w:t>
      </w:r>
    </w:p>
    <w:p w:rsidR="00DF10A8" w:rsidRPr="000A32A3" w:rsidRDefault="00DF10A8" w:rsidP="00DF10A8">
      <w:pPr>
        <w:spacing w:after="100" w:afterAutospacing="1" w:line="240" w:lineRule="auto"/>
        <w:rPr>
          <w:rFonts w:cs="Times New Roman"/>
        </w:rPr>
      </w:pPr>
      <w:r w:rsidRPr="000A32A3">
        <w:rPr>
          <w:rFonts w:cs="Times New Roman"/>
        </w:rPr>
        <w:t>___________. Fundos regionais e incentivos fiscais: contribuem para a redução das desigualdades regionais e ajudam o brasil a crescer. Publicação Anual – 2012.</w:t>
      </w:r>
    </w:p>
    <w:p w:rsidR="00CD16EF" w:rsidRPr="000A32A3" w:rsidRDefault="00CD16EF" w:rsidP="00982B81">
      <w:pPr>
        <w:spacing w:after="100" w:afterAutospacing="1" w:line="240" w:lineRule="auto"/>
        <w:rPr>
          <w:rFonts w:cs="Times New Roman"/>
        </w:rPr>
      </w:pPr>
      <w:r w:rsidRPr="000A32A3">
        <w:rPr>
          <w:rFonts w:cs="Times New Roman"/>
        </w:rPr>
        <w:t xml:space="preserve">OLIVEIRA, G. R.; MENEZES, R. T.; RESENDE, G. M. Efeito dose resposta do Fundo Constitucional de Financiamento do Centro-Oeste (FCO) no </w:t>
      </w:r>
      <w:r w:rsidR="00C41217" w:rsidRPr="000A32A3">
        <w:rPr>
          <w:rFonts w:cs="Times New Roman"/>
        </w:rPr>
        <w:t>Estado</w:t>
      </w:r>
      <w:r w:rsidRPr="000A32A3">
        <w:rPr>
          <w:rFonts w:cs="Times New Roman"/>
        </w:rPr>
        <w:t xml:space="preserve"> de Goiás. </w:t>
      </w:r>
      <w:r w:rsidRPr="000A32A3">
        <w:rPr>
          <w:rFonts w:cs="Times New Roman"/>
          <w:b/>
        </w:rPr>
        <w:t>Texto para Discussão N. 2133</w:t>
      </w:r>
      <w:r w:rsidRPr="000A32A3">
        <w:rPr>
          <w:rFonts w:cs="Times New Roman"/>
        </w:rPr>
        <w:t>, IPEA, Brasília, 2015.</w:t>
      </w:r>
    </w:p>
    <w:p w:rsidR="000309CB" w:rsidRPr="000A32A3" w:rsidRDefault="007B297C" w:rsidP="00982B81">
      <w:pPr>
        <w:autoSpaceDE w:val="0"/>
        <w:autoSpaceDN w:val="0"/>
        <w:adjustRightInd w:val="0"/>
        <w:spacing w:after="100" w:afterAutospacing="1" w:line="240" w:lineRule="auto"/>
        <w:ind w:right="-2"/>
        <w:rPr>
          <w:rFonts w:cs="Times New Roman"/>
          <w:szCs w:val="24"/>
        </w:rPr>
      </w:pPr>
      <w:r w:rsidRPr="000A32A3">
        <w:rPr>
          <w:rFonts w:cs="Times New Roman"/>
          <w:szCs w:val="24"/>
        </w:rPr>
        <w:t>Rais</w:t>
      </w:r>
      <w:r w:rsidR="000309CB" w:rsidRPr="000A32A3">
        <w:rPr>
          <w:rFonts w:cs="Times New Roman"/>
          <w:szCs w:val="24"/>
        </w:rPr>
        <w:t xml:space="preserve"> – RELATÓRIO ANUAL DE INFORMAÇÕES SOCIAIS. Brasília: Ministério do Trabalho, 2004 a 2011.</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RESENDE, G. M. Micro and macro impacts of regional development policies: the case of the FNE industrial Loans in Brazil, 2000-2006. </w:t>
      </w:r>
      <w:r w:rsidRPr="000A32A3">
        <w:rPr>
          <w:rFonts w:cs="Times New Roman"/>
          <w:b/>
        </w:rPr>
        <w:t>Regional Studies</w:t>
      </w:r>
      <w:r w:rsidRPr="000A32A3">
        <w:rPr>
          <w:rFonts w:cs="Times New Roman"/>
        </w:rPr>
        <w:t>, v. 48, n. 4, p. 646-664, 2014a.</w:t>
      </w:r>
    </w:p>
    <w:p w:rsidR="00CD16EF" w:rsidRPr="000A32A3" w:rsidRDefault="00CD16EF" w:rsidP="00982B81">
      <w:pPr>
        <w:spacing w:after="100" w:afterAutospacing="1" w:line="240" w:lineRule="auto"/>
        <w:rPr>
          <w:rFonts w:cs="Times New Roman"/>
        </w:rPr>
      </w:pPr>
      <w:r w:rsidRPr="000A32A3">
        <w:rPr>
          <w:rFonts w:cs="Times New Roman"/>
        </w:rPr>
        <w:t xml:space="preserve">_____________. Avaliação dos impactos econômicos do fundo constitucional de financiamento do Nordeste entre 2004 e 2010. </w:t>
      </w:r>
      <w:r w:rsidRPr="000A32A3">
        <w:rPr>
          <w:rFonts w:cs="Times New Roman"/>
          <w:b/>
        </w:rPr>
        <w:t>Texto para Discussão</w:t>
      </w:r>
      <w:r w:rsidRPr="000A32A3">
        <w:rPr>
          <w:rFonts w:cs="Times New Roman"/>
        </w:rPr>
        <w:t xml:space="preserve"> </w:t>
      </w:r>
      <w:r w:rsidRPr="000A32A3">
        <w:rPr>
          <w:rFonts w:cs="Times New Roman"/>
          <w:b/>
        </w:rPr>
        <w:t>N. 1973</w:t>
      </w:r>
      <w:r w:rsidRPr="000A32A3">
        <w:rPr>
          <w:rFonts w:cs="Times New Roman"/>
        </w:rPr>
        <w:t>, IPEA, Brasília, 2014b.</w:t>
      </w:r>
    </w:p>
    <w:p w:rsidR="00CD16EF" w:rsidRPr="000A32A3" w:rsidRDefault="00CD16EF" w:rsidP="00982B81">
      <w:pPr>
        <w:spacing w:after="100" w:afterAutospacing="1" w:line="240" w:lineRule="auto"/>
        <w:rPr>
          <w:rFonts w:cs="Times New Roman"/>
        </w:rPr>
      </w:pPr>
      <w:r w:rsidRPr="000A32A3">
        <w:rPr>
          <w:rFonts w:cs="Times New Roman"/>
        </w:rPr>
        <w:t xml:space="preserve">RESENDE, G. M.; CRAVO, T.; PIRES, M. </w:t>
      </w:r>
      <w:r w:rsidRPr="000A32A3">
        <w:rPr>
          <w:rFonts w:cs="Times New Roman"/>
          <w:bCs/>
        </w:rPr>
        <w:t xml:space="preserve">Avaliação dos impactos econômicos do Fundo Constitucional do Centro-Oeste (FCO) entre 2004 e 2010. </w:t>
      </w:r>
      <w:r w:rsidRPr="000A32A3">
        <w:rPr>
          <w:rFonts w:cs="Times New Roman"/>
          <w:b/>
        </w:rPr>
        <w:t>Texto para Discussão N. 1969</w:t>
      </w:r>
      <w:r w:rsidRPr="000A32A3">
        <w:rPr>
          <w:rFonts w:cs="Times New Roman"/>
        </w:rPr>
        <w:t xml:space="preserve">, IPEA, Brasília, 2014. </w:t>
      </w:r>
    </w:p>
    <w:p w:rsidR="00CD16EF" w:rsidRPr="000A32A3" w:rsidRDefault="00CD16EF" w:rsidP="00982B81">
      <w:pPr>
        <w:spacing w:after="100" w:afterAutospacing="1" w:line="240" w:lineRule="auto"/>
        <w:rPr>
          <w:rFonts w:cs="Times New Roman"/>
        </w:rPr>
      </w:pPr>
      <w:r w:rsidRPr="000A32A3">
        <w:rPr>
          <w:rFonts w:cs="Times New Roman"/>
        </w:rPr>
        <w:t xml:space="preserve">RESENDE, G. M.; NETO, A. M.; MAGALHÃES, J. C.; SOUSA, A. G. Monitoramento e avaliação dos instrumentos da política nacional de desenvolvimento regional: uma proposta de avaliação Continuada. In: </w:t>
      </w:r>
      <w:r w:rsidRPr="000A32A3">
        <w:rPr>
          <w:rFonts w:cs="Times New Roman"/>
          <w:b/>
        </w:rPr>
        <w:t xml:space="preserve">Brasil em desenvolvimento 2014: </w:t>
      </w:r>
      <w:r w:rsidR="00C41217" w:rsidRPr="000A32A3">
        <w:rPr>
          <w:rFonts w:cs="Times New Roman"/>
          <w:b/>
        </w:rPr>
        <w:t>Estado</w:t>
      </w:r>
      <w:r w:rsidRPr="000A32A3">
        <w:rPr>
          <w:rFonts w:cs="Times New Roman"/>
          <w:b/>
        </w:rPr>
        <w:t>, planejamento e políticas públicas</w:t>
      </w:r>
      <w:r w:rsidRPr="000A32A3">
        <w:rPr>
          <w:rFonts w:cs="Times New Roman"/>
        </w:rPr>
        <w:t>. Editores: MONASTERIO, L. M.; NERI, M. C.; SOARES, S. S. Brasília: IPEA, 2014.</w:t>
      </w:r>
    </w:p>
    <w:p w:rsidR="00D71B08" w:rsidRPr="000A32A3" w:rsidRDefault="00D71B08" w:rsidP="00D71B08">
      <w:pPr>
        <w:spacing w:after="100" w:afterAutospacing="1" w:line="240" w:lineRule="auto"/>
        <w:rPr>
          <w:rFonts w:cs="Times New Roman"/>
        </w:rPr>
      </w:pPr>
      <w:r w:rsidRPr="000A32A3">
        <w:rPr>
          <w:rFonts w:cs="Times New Roman"/>
        </w:rPr>
        <w:t xml:space="preserve">RESENDE, G. M.; SILVA, D.; FILHO, L. Avaliação dos Efeitos Econômicos dos Fundos Constitucionais de Financiamento do Nordeste, do Norte e do Centro-Oeste: uma análise por tipologia da política nacional de desenvolvimento regional entre 1999 e 2011, </w:t>
      </w:r>
      <w:r w:rsidRPr="000A32A3">
        <w:rPr>
          <w:rFonts w:cs="Times New Roman"/>
          <w:b/>
        </w:rPr>
        <w:t xml:space="preserve">Texto para Discussão </w:t>
      </w:r>
      <w:r w:rsidR="009E64F6" w:rsidRPr="000A32A3">
        <w:rPr>
          <w:rFonts w:cs="Times New Roman"/>
          <w:b/>
        </w:rPr>
        <w:t>2145</w:t>
      </w:r>
      <w:r w:rsidR="009E64F6" w:rsidRPr="000A32A3">
        <w:rPr>
          <w:rFonts w:cs="Times New Roman"/>
        </w:rPr>
        <w:t xml:space="preserve">, IPEA, </w:t>
      </w:r>
      <w:r w:rsidRPr="000A32A3">
        <w:rPr>
          <w:rFonts w:cs="Times New Roman"/>
        </w:rPr>
        <w:t>2015.</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ROMAN, M; VASILESCU, M. Romanian labour market efficiency analysis. </w:t>
      </w:r>
      <w:r w:rsidRPr="000A32A3">
        <w:rPr>
          <w:rFonts w:cs="Times New Roman"/>
          <w:b/>
          <w:lang w:val="en-US"/>
        </w:rPr>
        <w:t>Mathematical Applications in Science and Mechanics</w:t>
      </w:r>
      <w:r w:rsidRPr="000A32A3">
        <w:rPr>
          <w:rFonts w:cs="Times New Roman"/>
          <w:lang w:val="en-US"/>
        </w:rPr>
        <w:t>, pgs. 81-85, 2013.</w:t>
      </w:r>
    </w:p>
    <w:p w:rsidR="00CD16EF" w:rsidRPr="000A32A3" w:rsidRDefault="00CD16EF" w:rsidP="00982B81">
      <w:pPr>
        <w:spacing w:after="100" w:afterAutospacing="1" w:line="240" w:lineRule="auto"/>
        <w:rPr>
          <w:rFonts w:cs="Times New Roman"/>
          <w:lang w:val="en-US"/>
        </w:rPr>
      </w:pPr>
      <w:r w:rsidRPr="000A32A3">
        <w:rPr>
          <w:rFonts w:cs="Times New Roman"/>
          <w:lang w:val="en-US"/>
        </w:rPr>
        <w:t xml:space="preserve">RUGGIERO, J. On the measurement of technical efficiency in the public sector. </w:t>
      </w:r>
      <w:r w:rsidRPr="000A32A3">
        <w:rPr>
          <w:rFonts w:cs="Times New Roman"/>
          <w:b/>
          <w:lang w:val="en-US"/>
        </w:rPr>
        <w:t>European Journal of Operational Research</w:t>
      </w:r>
      <w:r w:rsidRPr="000A32A3">
        <w:rPr>
          <w:rFonts w:cs="Times New Roman"/>
          <w:lang w:val="en-US"/>
        </w:rPr>
        <w:t>, n. 90, pgs. 553–565, 1994.</w:t>
      </w:r>
    </w:p>
    <w:p w:rsidR="00CD16EF" w:rsidRPr="000A32A3" w:rsidRDefault="00CD16EF" w:rsidP="00982B81">
      <w:pPr>
        <w:spacing w:after="100" w:afterAutospacing="1" w:line="240" w:lineRule="auto"/>
        <w:rPr>
          <w:rFonts w:cs="Times New Roman"/>
          <w:lang w:val="en-US"/>
        </w:rPr>
      </w:pPr>
      <w:r w:rsidRPr="000A32A3">
        <w:rPr>
          <w:rFonts w:cs="Times New Roman"/>
          <w:lang w:val="en-US"/>
        </w:rPr>
        <w:lastRenderedPageBreak/>
        <w:t xml:space="preserve">SCHAFFER, A.; SIMAR, L.; RAULAND, J. Decomposing regional efficiency. University of the State of Baden-Wuerttemberg and National Laboratory of the Helmholtz Association, </w:t>
      </w:r>
      <w:r w:rsidRPr="000A32A3">
        <w:rPr>
          <w:rFonts w:cs="Times New Roman"/>
          <w:b/>
          <w:lang w:val="en-US"/>
        </w:rPr>
        <w:t>Working Paper Series in Economics</w:t>
      </w:r>
      <w:r w:rsidRPr="000A32A3">
        <w:rPr>
          <w:rFonts w:cs="Times New Roman"/>
          <w:lang w:val="en-US"/>
        </w:rPr>
        <w:t>, No. 10, October, 2010.</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SIMAR, L.; WILSON, P. W. Statistical Inference in Nonparametric Frontier Models: Recent Developments and Perspectives. In: FRIED, H.; LOVELL, C. A. K.; SCHMIDT, S. S. </w:t>
      </w:r>
      <w:r w:rsidRPr="000A32A3">
        <w:rPr>
          <w:rFonts w:cs="Times New Roman"/>
          <w:b/>
          <w:lang w:val="en-US"/>
        </w:rPr>
        <w:t xml:space="preserve">The Measurement of Productive Efficiency and Productivity Growth. </w:t>
      </w:r>
      <w:r w:rsidRPr="000A32A3">
        <w:rPr>
          <w:rFonts w:cs="Times New Roman"/>
        </w:rPr>
        <w:t>Oxford University Press, 2008.</w:t>
      </w:r>
    </w:p>
    <w:p w:rsidR="00CD16EF" w:rsidRPr="000A32A3" w:rsidRDefault="00CD16EF" w:rsidP="00982B81">
      <w:pPr>
        <w:spacing w:after="100" w:afterAutospacing="1" w:line="240" w:lineRule="auto"/>
        <w:rPr>
          <w:rFonts w:cs="Times New Roman"/>
        </w:rPr>
      </w:pPr>
      <w:r w:rsidRPr="000A32A3">
        <w:rPr>
          <w:rFonts w:cs="Times New Roman"/>
        </w:rPr>
        <w:t xml:space="preserve">SILVA,A. M.; RESENDE, G. M.; SILVEIRA NETO, R. Eficácia do gasto público: uma avaliação do FNE, FNO e FCO. </w:t>
      </w:r>
      <w:r w:rsidRPr="000A32A3">
        <w:rPr>
          <w:rFonts w:cs="Times New Roman"/>
          <w:b/>
        </w:rPr>
        <w:t>Estudos econômicos</w:t>
      </w:r>
      <w:r w:rsidRPr="000A32A3">
        <w:rPr>
          <w:rFonts w:cs="Times New Roman"/>
        </w:rPr>
        <w:t>, v. 39, n. 1, p. 89-125, 2009.</w:t>
      </w:r>
    </w:p>
    <w:p w:rsidR="0092588B" w:rsidRPr="000A32A3" w:rsidRDefault="0092588B" w:rsidP="0092588B">
      <w:pPr>
        <w:spacing w:after="100" w:afterAutospacing="1" w:line="240" w:lineRule="auto"/>
        <w:ind w:right="-2"/>
        <w:rPr>
          <w:rFonts w:cs="Times New Roman"/>
          <w:szCs w:val="24"/>
        </w:rPr>
      </w:pPr>
      <w:r w:rsidRPr="000A32A3">
        <w:rPr>
          <w:rFonts w:cs="Times New Roman"/>
          <w:szCs w:val="24"/>
        </w:rPr>
        <w:t xml:space="preserve">SOARES, R.; SOUSA, J.; PEREIRA NETO, A. Avaliação de impactos do FNE no emprego, na massa salarial e no salário médio em empreendimentos financiados. </w:t>
      </w:r>
      <w:r w:rsidRPr="000A32A3">
        <w:rPr>
          <w:rFonts w:cs="Times New Roman"/>
          <w:b/>
          <w:szCs w:val="24"/>
        </w:rPr>
        <w:t>Revista Econômica do Nordeste</w:t>
      </w:r>
      <w:r w:rsidRPr="000A32A3">
        <w:rPr>
          <w:rFonts w:cs="Times New Roman"/>
          <w:szCs w:val="24"/>
        </w:rPr>
        <w:t>, v. 40, n. 1, p. 217-234, 2009.</w:t>
      </w:r>
    </w:p>
    <w:p w:rsidR="00245F3B" w:rsidRPr="000A32A3" w:rsidRDefault="00245F3B" w:rsidP="00245F3B">
      <w:pPr>
        <w:spacing w:after="100" w:afterAutospacing="1" w:line="240" w:lineRule="auto"/>
        <w:ind w:right="-2"/>
        <w:rPr>
          <w:rFonts w:cs="Times New Roman"/>
          <w:szCs w:val="24"/>
        </w:rPr>
      </w:pPr>
      <w:r w:rsidRPr="000A32A3">
        <w:rPr>
          <w:rFonts w:cs="Times New Roman"/>
          <w:szCs w:val="24"/>
        </w:rPr>
        <w:t xml:space="preserve">SOARES, R.; LINHARES, F.; GONÇALVES, M.; VIANA, L. Fondo Constitucional de Financiamiento del Nordeste del Brasil: efectos diferenciados sobre el crecimiento económico de los municipios, </w:t>
      </w:r>
      <w:r w:rsidRPr="000A32A3">
        <w:rPr>
          <w:rFonts w:cs="Times New Roman"/>
          <w:b/>
          <w:szCs w:val="24"/>
        </w:rPr>
        <w:t>Revista de la CEPAL</w:t>
      </w:r>
      <w:r w:rsidRPr="000A32A3">
        <w:rPr>
          <w:rFonts w:cs="Times New Roman"/>
          <w:szCs w:val="24"/>
        </w:rPr>
        <w:t>, vol, 113, pg. 183–201, 2014.</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SOUSA, M. C. S.; ARAÚJO, P. L.; TANNURI-PIANTO, M. E. Residual and Technical Tax Efficiency Scores for Brazilian Municipalities: a Two-Stage Approach. </w:t>
      </w:r>
      <w:r w:rsidRPr="000A32A3">
        <w:rPr>
          <w:rFonts w:cs="Times New Roman"/>
          <w:b/>
        </w:rPr>
        <w:t>Estudos Econômicos</w:t>
      </w:r>
      <w:r w:rsidRPr="000A32A3">
        <w:rPr>
          <w:rFonts w:cs="Times New Roman"/>
        </w:rPr>
        <w:t>, São Paulo, vol. 42, n.1, p. 43-74, jan.-mar., 2012.</w:t>
      </w:r>
    </w:p>
    <w:p w:rsidR="00CD16EF" w:rsidRPr="000A32A3" w:rsidRDefault="00CD16EF" w:rsidP="00982B81">
      <w:pPr>
        <w:spacing w:after="100" w:afterAutospacing="1" w:line="240" w:lineRule="auto"/>
        <w:rPr>
          <w:rFonts w:cs="Times New Roman"/>
          <w:lang w:val="en-US"/>
        </w:rPr>
      </w:pPr>
      <w:r w:rsidRPr="000A32A3">
        <w:rPr>
          <w:rFonts w:cs="Times New Roman"/>
        </w:rPr>
        <w:t xml:space="preserve">SOUSA, M. C. S.; SOUZA, J. C. Escores robustos de eficiência e seus determinantes: o caso das agências do banco do Brasil. </w:t>
      </w:r>
      <w:r w:rsidRPr="000A32A3">
        <w:rPr>
          <w:rFonts w:cs="Times New Roman"/>
          <w:b/>
          <w:lang w:val="en-US"/>
        </w:rPr>
        <w:t>Pesquisa e Planejamento Econômico</w:t>
      </w:r>
      <w:r w:rsidRPr="000A32A3">
        <w:rPr>
          <w:rFonts w:cs="Times New Roman"/>
          <w:lang w:val="en-US"/>
        </w:rPr>
        <w:t>, v. 44, n. 1, abril, 2014.</w:t>
      </w:r>
    </w:p>
    <w:p w:rsidR="00CD16EF" w:rsidRPr="000A32A3" w:rsidRDefault="00CD16EF" w:rsidP="00982B81">
      <w:pPr>
        <w:spacing w:after="100" w:afterAutospacing="1" w:line="240" w:lineRule="auto"/>
        <w:rPr>
          <w:rFonts w:cs="Times New Roman"/>
        </w:rPr>
      </w:pPr>
      <w:r w:rsidRPr="000A32A3">
        <w:rPr>
          <w:rFonts w:cs="Times New Roman"/>
          <w:lang w:val="en-US"/>
        </w:rPr>
        <w:t xml:space="preserve">SOUSA, M. C. S.; CRIBARI-NETO, F.; STOSIC, B. Explaining DEA Technical Efficiency Scores in an Outlier Corrected Environment: The Case of Public Services in Brazilian Municipalities. </w:t>
      </w:r>
      <w:r w:rsidRPr="000A32A3">
        <w:rPr>
          <w:rFonts w:cs="Times New Roman"/>
          <w:b/>
        </w:rPr>
        <w:t>Brazilian Review of Econometrics,</w:t>
      </w:r>
      <w:r w:rsidRPr="000A32A3">
        <w:rPr>
          <w:rFonts w:cs="Times New Roman"/>
        </w:rPr>
        <w:t xml:space="preserve"> v. 25, no 2, p. 287–313, November, 2005.</w:t>
      </w:r>
    </w:p>
    <w:p w:rsidR="00A648AE" w:rsidRPr="000A32A3" w:rsidRDefault="00CD16EF" w:rsidP="008422D2">
      <w:pPr>
        <w:spacing w:after="100" w:afterAutospacing="1" w:line="240" w:lineRule="auto"/>
        <w:rPr>
          <w:rFonts w:cs="Times New Roman"/>
        </w:rPr>
      </w:pPr>
      <w:r w:rsidRPr="000A32A3">
        <w:rPr>
          <w:rFonts w:cs="Times New Roman"/>
        </w:rPr>
        <w:t>YEUNG, L. L.; AZEVEDO, P. F. Além dos “achismos” e das evidências anedóticas: medindo a eficiência dos tribunais brasileiros</w:t>
      </w:r>
      <w:r w:rsidRPr="000A32A3">
        <w:rPr>
          <w:rFonts w:cs="Times New Roman"/>
          <w:b/>
        </w:rPr>
        <w:t>. Economia Aplicada</w:t>
      </w:r>
      <w:r w:rsidRPr="000A32A3">
        <w:rPr>
          <w:rFonts w:cs="Times New Roman"/>
        </w:rPr>
        <w:t>, v. 16, n. 4, p. 643-663, 2012.</w:t>
      </w:r>
    </w:p>
    <w:p w:rsidR="002D17A0" w:rsidRPr="000A32A3" w:rsidRDefault="00A648AE" w:rsidP="008422D2">
      <w:pPr>
        <w:spacing w:after="100" w:afterAutospacing="1" w:line="240" w:lineRule="auto"/>
      </w:pPr>
      <w:r w:rsidRPr="000A32A3">
        <w:rPr>
          <w:rFonts w:cs="Times New Roman"/>
        </w:rPr>
        <w:t xml:space="preserve">YOUNG, C. E.; ROCHA, J. Q. Relatório de </w:t>
      </w:r>
      <w:r w:rsidR="005627AC" w:rsidRPr="000A32A3">
        <w:rPr>
          <w:rFonts w:cs="Times New Roman"/>
        </w:rPr>
        <w:t>pesquisa</w:t>
      </w:r>
      <w:r w:rsidRPr="000A32A3">
        <w:rPr>
          <w:rFonts w:cs="Times New Roman"/>
        </w:rPr>
        <w:t xml:space="preserve">: </w:t>
      </w:r>
      <w:r w:rsidR="005627AC" w:rsidRPr="000A32A3">
        <w:rPr>
          <w:rFonts w:cs="Times New Roman"/>
        </w:rPr>
        <w:t xml:space="preserve">avaliação </w:t>
      </w:r>
      <w:r w:rsidRPr="000A32A3">
        <w:rPr>
          <w:rFonts w:cs="Times New Roman"/>
        </w:rPr>
        <w:t xml:space="preserve">dos </w:t>
      </w:r>
      <w:r w:rsidR="005627AC" w:rsidRPr="000A32A3">
        <w:rPr>
          <w:rFonts w:cs="Times New Roman"/>
        </w:rPr>
        <w:t xml:space="preserve">critérios de sustentabilidade dos financiamentos apoiados pelos </w:t>
      </w:r>
      <w:r w:rsidRPr="000A32A3">
        <w:rPr>
          <w:rFonts w:cs="Times New Roman"/>
        </w:rPr>
        <w:t xml:space="preserve">Fundos Constitucionais Brasileiros. </w:t>
      </w:r>
      <w:r w:rsidR="005627AC" w:rsidRPr="000A32A3">
        <w:rPr>
          <w:rFonts w:cs="Times New Roman"/>
          <w:b/>
        </w:rPr>
        <w:t>Documento de proyecto.</w:t>
      </w:r>
      <w:r w:rsidR="005627AC" w:rsidRPr="000A32A3">
        <w:rPr>
          <w:rFonts w:cs="Times New Roman"/>
        </w:rPr>
        <w:t xml:space="preserve"> </w:t>
      </w:r>
      <w:r w:rsidRPr="000A32A3">
        <w:rPr>
          <w:rFonts w:cs="Times New Roman"/>
        </w:rPr>
        <w:t>Comisión Económica para América Latina y el Caribe (CEPAL)</w:t>
      </w:r>
      <w:r w:rsidR="005627AC" w:rsidRPr="000A32A3">
        <w:rPr>
          <w:rFonts w:cs="Times New Roman"/>
        </w:rPr>
        <w:t>. Naciones Unidas, 2009</w:t>
      </w:r>
      <w:r w:rsidRPr="000A32A3">
        <w:rPr>
          <w:rFonts w:cs="Times New Roman"/>
        </w:rPr>
        <w:t xml:space="preserve">. </w:t>
      </w:r>
      <w:bookmarkStart w:id="12" w:name="_Toc445241619"/>
    </w:p>
    <w:p w:rsidR="002D17A0" w:rsidRPr="000A32A3" w:rsidRDefault="002D17A0" w:rsidP="008422D2">
      <w:pPr>
        <w:spacing w:after="100" w:afterAutospacing="1" w:line="240" w:lineRule="auto"/>
      </w:pPr>
    </w:p>
    <w:p w:rsidR="001A1223" w:rsidRPr="000A32A3" w:rsidRDefault="001A1223">
      <w:pPr>
        <w:jc w:val="left"/>
        <w:rPr>
          <w:b/>
        </w:rPr>
      </w:pPr>
      <w:r w:rsidRPr="000A32A3">
        <w:rPr>
          <w:b/>
        </w:rPr>
        <w:br w:type="page"/>
      </w:r>
    </w:p>
    <w:p w:rsidR="00CD16EF" w:rsidRPr="000A32A3" w:rsidRDefault="002D17A0" w:rsidP="008422D2">
      <w:pPr>
        <w:spacing w:after="100" w:afterAutospacing="1" w:line="240" w:lineRule="auto"/>
      </w:pPr>
      <w:r w:rsidRPr="000A32A3">
        <w:rPr>
          <w:b/>
        </w:rPr>
        <w:lastRenderedPageBreak/>
        <w:t>A</w:t>
      </w:r>
      <w:r w:rsidR="00577BF5" w:rsidRPr="000A32A3">
        <w:rPr>
          <w:b/>
        </w:rPr>
        <w:t>nexo</w:t>
      </w:r>
      <w:bookmarkEnd w:id="12"/>
    </w:p>
    <w:p w:rsidR="00577BF5" w:rsidRPr="000A32A3" w:rsidRDefault="00577BF5" w:rsidP="00982B81">
      <w:pPr>
        <w:spacing w:line="240" w:lineRule="auto"/>
        <w:rPr>
          <w:rFonts w:cs="Times New Roman"/>
        </w:rPr>
      </w:pPr>
    </w:p>
    <w:p w:rsidR="00CD16EF" w:rsidRPr="000A32A3" w:rsidRDefault="0046037B" w:rsidP="00982B81">
      <w:pPr>
        <w:spacing w:line="240" w:lineRule="auto"/>
        <w:rPr>
          <w:rFonts w:cs="Times New Roman"/>
        </w:rPr>
      </w:pPr>
      <w:r w:rsidRPr="000A32A3">
        <w:rPr>
          <w:rFonts w:cs="Times New Roman"/>
          <w:b/>
        </w:rPr>
        <w:t>Tabela 5</w:t>
      </w:r>
      <w:r w:rsidR="00CD16EF" w:rsidRPr="000A32A3">
        <w:rPr>
          <w:rFonts w:cs="Times New Roman"/>
          <w:b/>
        </w:rPr>
        <w:t xml:space="preserve">: Resultados do segundo estágio – MQO (primeiro estágio: DEA - BCC) </w:t>
      </w:r>
    </w:p>
    <w:tbl>
      <w:tblPr>
        <w:tblW w:w="5000" w:type="pct"/>
        <w:tblLook w:val="0000" w:firstRow="0" w:lastRow="0" w:firstColumn="0" w:lastColumn="0" w:noHBand="0" w:noVBand="0"/>
      </w:tblPr>
      <w:tblGrid>
        <w:gridCol w:w="1198"/>
        <w:gridCol w:w="1707"/>
        <w:gridCol w:w="1020"/>
        <w:gridCol w:w="1707"/>
        <w:gridCol w:w="1209"/>
        <w:gridCol w:w="1233"/>
        <w:gridCol w:w="1213"/>
      </w:tblGrid>
      <w:tr w:rsidR="00CD16EF" w:rsidRPr="000A32A3" w:rsidTr="005C36C7">
        <w:tc>
          <w:tcPr>
            <w:tcW w:w="645" w:type="pct"/>
            <w:tcBorders>
              <w:top w:val="single" w:sz="4" w:space="0" w:color="auto"/>
              <w:left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Cs w:val="24"/>
              </w:rPr>
            </w:pPr>
          </w:p>
        </w:tc>
        <w:tc>
          <w:tcPr>
            <w:tcW w:w="2387" w:type="pct"/>
            <w:gridSpan w:val="3"/>
            <w:tcBorders>
              <w:top w:val="single" w:sz="4" w:space="0" w:color="auto"/>
              <w:left w:val="single" w:sz="4" w:space="0" w:color="auto"/>
              <w:bottom w:val="single" w:sz="4" w:space="0" w:color="auto"/>
              <w:right w:val="single" w:sz="4" w:space="0" w:color="auto"/>
            </w:tcBorders>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2004 - 2008</w:t>
            </w:r>
          </w:p>
        </w:tc>
        <w:tc>
          <w:tcPr>
            <w:tcW w:w="1968" w:type="pct"/>
            <w:gridSpan w:val="3"/>
            <w:tcBorders>
              <w:top w:val="single" w:sz="4" w:space="0" w:color="auto"/>
              <w:left w:val="single" w:sz="4" w:space="0" w:color="auto"/>
              <w:bottom w:val="single" w:sz="4" w:space="0" w:color="auto"/>
              <w:right w:val="nil"/>
            </w:tcBorders>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2008 – 2011</w:t>
            </w:r>
          </w:p>
        </w:tc>
      </w:tr>
      <w:tr w:rsidR="00CD16EF" w:rsidRPr="000A32A3" w:rsidTr="005C36C7">
        <w:tc>
          <w:tcPr>
            <w:tcW w:w="645"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Cs w:val="24"/>
              </w:rPr>
            </w:pPr>
          </w:p>
        </w:tc>
        <w:tc>
          <w:tcPr>
            <w:tcW w:w="919" w:type="pct"/>
            <w:tcBorders>
              <w:top w:val="single" w:sz="4" w:space="0" w:color="auto"/>
              <w:left w:val="single" w:sz="4" w:space="0" w:color="auto"/>
              <w:bottom w:val="nil"/>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 xml:space="preserve">Variação </w:t>
            </w:r>
          </w:p>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Emprego</w:t>
            </w:r>
          </w:p>
        </w:tc>
        <w:tc>
          <w:tcPr>
            <w:tcW w:w="549" w:type="pct"/>
            <w:tcBorders>
              <w:top w:val="single" w:sz="4" w:space="0" w:color="auto"/>
              <w:left w:val="nil"/>
              <w:bottom w:val="nil"/>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Salário</w:t>
            </w:r>
          </w:p>
        </w:tc>
        <w:tc>
          <w:tcPr>
            <w:tcW w:w="919" w:type="pct"/>
            <w:tcBorders>
              <w:top w:val="single" w:sz="4" w:space="0" w:color="auto"/>
              <w:left w:val="nil"/>
              <w:bottom w:val="nil"/>
              <w:right w:val="single" w:sz="4" w:space="0" w:color="auto"/>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 Emprego e V. Salário</w:t>
            </w:r>
          </w:p>
        </w:tc>
        <w:tc>
          <w:tcPr>
            <w:tcW w:w="651" w:type="pct"/>
            <w:tcBorders>
              <w:top w:val="single" w:sz="4" w:space="0" w:color="auto"/>
              <w:left w:val="single" w:sz="4" w:space="0" w:color="auto"/>
              <w:bottom w:val="nil"/>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Emprego</w:t>
            </w:r>
          </w:p>
        </w:tc>
        <w:tc>
          <w:tcPr>
            <w:tcW w:w="664" w:type="pct"/>
            <w:tcBorders>
              <w:top w:val="single" w:sz="4" w:space="0" w:color="auto"/>
              <w:left w:val="nil"/>
              <w:bottom w:val="nil"/>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Variação Salário</w:t>
            </w:r>
          </w:p>
        </w:tc>
        <w:tc>
          <w:tcPr>
            <w:tcW w:w="653" w:type="pct"/>
            <w:tcBorders>
              <w:top w:val="single" w:sz="4" w:space="0" w:color="auto"/>
              <w:left w:val="nil"/>
              <w:bottom w:val="nil"/>
              <w:right w:val="nil"/>
            </w:tcBorders>
            <w:shd w:val="clear" w:color="auto" w:fill="F2F2F2" w:themeFill="background1" w:themeFillShade="F2"/>
            <w:vAlign w:val="center"/>
          </w:tcPr>
          <w:p w:rsidR="00CD16EF" w:rsidRPr="000A32A3" w:rsidRDefault="00CD16EF" w:rsidP="00982B81">
            <w:pPr>
              <w:widowControl w:val="0"/>
              <w:autoSpaceDE w:val="0"/>
              <w:autoSpaceDN w:val="0"/>
              <w:adjustRightInd w:val="0"/>
              <w:spacing w:after="0" w:line="240" w:lineRule="auto"/>
              <w:jc w:val="center"/>
              <w:rPr>
                <w:rFonts w:cs="Times New Roman"/>
                <w:b/>
                <w:sz w:val="20"/>
                <w:szCs w:val="20"/>
              </w:rPr>
            </w:pPr>
            <w:r w:rsidRPr="000A32A3">
              <w:rPr>
                <w:rFonts w:cs="Times New Roman"/>
                <w:b/>
                <w:sz w:val="20"/>
                <w:szCs w:val="20"/>
              </w:rPr>
              <w:t>V. Emprego e V. Salário</w:t>
            </w:r>
          </w:p>
        </w:tc>
      </w:tr>
      <w:tr w:rsidR="00CD16EF" w:rsidRPr="000A32A3" w:rsidTr="005C36C7">
        <w:tc>
          <w:tcPr>
            <w:tcW w:w="645"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 xml:space="preserve">FCO </w:t>
            </w:r>
          </w:p>
        </w:tc>
        <w:tc>
          <w:tcPr>
            <w:tcW w:w="919"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000326***</w:t>
            </w:r>
          </w:p>
        </w:tc>
        <w:tc>
          <w:tcPr>
            <w:tcW w:w="549"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-7</w:t>
            </w:r>
            <w:r w:rsidR="000C3576" w:rsidRPr="000A32A3">
              <w:rPr>
                <w:rFonts w:cs="Times New Roman"/>
                <w:sz w:val="20"/>
                <w:szCs w:val="20"/>
                <w:lang w:val="en-US"/>
              </w:rPr>
              <w:t>,</w:t>
            </w:r>
            <w:r w:rsidRPr="000A32A3">
              <w:rPr>
                <w:rFonts w:cs="Times New Roman"/>
                <w:sz w:val="20"/>
                <w:szCs w:val="20"/>
                <w:lang w:val="en-US"/>
              </w:rPr>
              <w:t>45e-05</w:t>
            </w:r>
          </w:p>
        </w:tc>
        <w:tc>
          <w:tcPr>
            <w:tcW w:w="919"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000403***</w:t>
            </w:r>
          </w:p>
        </w:tc>
        <w:tc>
          <w:tcPr>
            <w:tcW w:w="651"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4</w:t>
            </w:r>
            <w:r w:rsidR="000C3576" w:rsidRPr="000A32A3">
              <w:rPr>
                <w:rFonts w:cs="Times New Roman"/>
                <w:sz w:val="20"/>
                <w:szCs w:val="20"/>
                <w:lang w:val="en-US"/>
              </w:rPr>
              <w:t>,</w:t>
            </w:r>
            <w:r w:rsidRPr="000A32A3">
              <w:rPr>
                <w:rFonts w:cs="Times New Roman"/>
                <w:sz w:val="20"/>
                <w:szCs w:val="20"/>
                <w:lang w:val="en-US"/>
              </w:rPr>
              <w:t>73e-06</w:t>
            </w:r>
          </w:p>
        </w:tc>
        <w:tc>
          <w:tcPr>
            <w:tcW w:w="664"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92e-05**</w:t>
            </w:r>
          </w:p>
        </w:tc>
        <w:tc>
          <w:tcPr>
            <w:tcW w:w="653"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-8</w:t>
            </w:r>
            <w:r w:rsidR="000C3576" w:rsidRPr="000A32A3">
              <w:rPr>
                <w:rFonts w:cs="Times New Roman"/>
                <w:sz w:val="20"/>
                <w:szCs w:val="20"/>
                <w:lang w:val="en-US"/>
              </w:rPr>
              <w:t>,</w:t>
            </w:r>
            <w:r w:rsidRPr="000A32A3">
              <w:rPr>
                <w:rFonts w:cs="Times New Roman"/>
                <w:sz w:val="20"/>
                <w:szCs w:val="20"/>
                <w:lang w:val="en-US"/>
              </w:rPr>
              <w:t>00e-05</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(ano base)</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(-3</w:t>
            </w:r>
            <w:r w:rsidR="000C3576" w:rsidRPr="000A32A3">
              <w:rPr>
                <w:rFonts w:cs="Times New Roman"/>
                <w:sz w:val="20"/>
                <w:szCs w:val="20"/>
                <w:lang w:val="en-US"/>
              </w:rPr>
              <w:t>,</w:t>
            </w:r>
            <w:r w:rsidRPr="000A32A3">
              <w:rPr>
                <w:rFonts w:cs="Times New Roman"/>
                <w:sz w:val="20"/>
                <w:szCs w:val="20"/>
                <w:lang w:val="en-US"/>
              </w:rPr>
              <w:t>16)</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58)</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(-6</w:t>
            </w:r>
            <w:r w:rsidR="000C3576" w:rsidRPr="000A32A3">
              <w:rPr>
                <w:rFonts w:cs="Times New Roman"/>
                <w:sz w:val="20"/>
                <w:szCs w:val="20"/>
                <w:lang w:val="en-US"/>
              </w:rPr>
              <w:t>,</w:t>
            </w:r>
            <w:r w:rsidRPr="000A32A3">
              <w:rPr>
                <w:rFonts w:cs="Times New Roman"/>
                <w:sz w:val="20"/>
                <w:szCs w:val="20"/>
                <w:lang w:val="en-US"/>
              </w:rPr>
              <w:t>79)</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09)</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58)</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14)</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Progcomser</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0359</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0177</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00198</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00531</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0261***</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0150</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56)</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31)</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53)</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62)</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95)</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Progtur</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0775</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0123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0694</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0238</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00768</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0439</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25)</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00)</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31)</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55)</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62)</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Empquali</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0165***</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000993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00284</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00521***</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000220</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00764***</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(5</w:t>
            </w:r>
            <w:r w:rsidR="000C3576" w:rsidRPr="000A32A3">
              <w:rPr>
                <w:rFonts w:cs="Times New Roman"/>
                <w:sz w:val="20"/>
                <w:szCs w:val="20"/>
                <w:lang w:val="en-US"/>
              </w:rPr>
              <w:t>,</w:t>
            </w:r>
            <w:r w:rsidRPr="000A32A3">
              <w:rPr>
                <w:rFonts w:cs="Times New Roman"/>
                <w:sz w:val="20"/>
                <w:szCs w:val="20"/>
                <w:lang w:val="en-US"/>
              </w:rPr>
              <w:t>66)</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25)</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88)</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47)</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87)</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Micro</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0614</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0170</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0306</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0782**</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0473*</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0312</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12)</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55)</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50)</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45)</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82)</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01)</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Médio</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0510</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0763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0864</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0213**</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0432***</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0381***</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45)</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65)</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85)</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53)</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(-4</w:t>
            </w:r>
            <w:r w:rsidR="000C3576" w:rsidRPr="000A32A3">
              <w:rPr>
                <w:rFonts w:cs="Times New Roman"/>
                <w:sz w:val="20"/>
                <w:szCs w:val="20"/>
                <w:lang w:val="en-US"/>
              </w:rPr>
              <w:t>,</w:t>
            </w:r>
            <w:r w:rsidRPr="000A32A3">
              <w:rPr>
                <w:rFonts w:cs="Times New Roman"/>
                <w:sz w:val="20"/>
                <w:szCs w:val="20"/>
                <w:lang w:val="en-US"/>
              </w:rPr>
              <w:t>69)</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76)</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Grande</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292</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00184</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803***</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108</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0394</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0919</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31)</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02)</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(3</w:t>
            </w:r>
            <w:r w:rsidR="000C3576" w:rsidRPr="000A32A3">
              <w:rPr>
                <w:rFonts w:cs="Times New Roman"/>
                <w:sz w:val="20"/>
                <w:szCs w:val="20"/>
                <w:lang w:val="en-US"/>
              </w:rPr>
              <w:t>,</w:t>
            </w:r>
            <w:r w:rsidRPr="000A32A3">
              <w:rPr>
                <w:rFonts w:cs="Times New Roman"/>
                <w:sz w:val="20"/>
                <w:szCs w:val="20"/>
                <w:lang w:val="en-US"/>
              </w:rPr>
              <w:t>91)</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56)</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w:t>
            </w:r>
            <w:r w:rsidR="000C3576" w:rsidRPr="000A32A3">
              <w:rPr>
                <w:rFonts w:cs="Times New Roman"/>
                <w:sz w:val="20"/>
                <w:szCs w:val="20"/>
                <w:lang w:val="en-US"/>
              </w:rPr>
              <w:t>,</w:t>
            </w:r>
            <w:r w:rsidRPr="000A32A3">
              <w:rPr>
                <w:rFonts w:cs="Times New Roman"/>
                <w:sz w:val="20"/>
                <w:szCs w:val="20"/>
                <w:lang w:val="en-US"/>
              </w:rPr>
              <w:t>58)</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57)</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Constante</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223***</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123**</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234***</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105***</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118***</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144***</w:t>
            </w:r>
          </w:p>
        </w:tc>
      </w:tr>
      <w:tr w:rsidR="00CD16EF" w:rsidRPr="000A32A3" w:rsidTr="005C36C7">
        <w:tc>
          <w:tcPr>
            <w:tcW w:w="645"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p>
        </w:tc>
        <w:tc>
          <w:tcPr>
            <w:tcW w:w="919"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(3</w:t>
            </w:r>
            <w:r w:rsidR="000C3576" w:rsidRPr="000A32A3">
              <w:rPr>
                <w:rFonts w:cs="Times New Roman"/>
                <w:sz w:val="20"/>
                <w:szCs w:val="20"/>
                <w:lang w:val="en-US"/>
              </w:rPr>
              <w:t>,</w:t>
            </w:r>
            <w:r w:rsidRPr="000A32A3">
              <w:rPr>
                <w:rFonts w:cs="Times New Roman"/>
                <w:sz w:val="20"/>
                <w:szCs w:val="20"/>
                <w:lang w:val="en-US"/>
              </w:rPr>
              <w:t>99)</w:t>
            </w:r>
          </w:p>
        </w:tc>
        <w:tc>
          <w:tcPr>
            <w:tcW w:w="549"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(2</w:t>
            </w:r>
            <w:r w:rsidR="000C3576" w:rsidRPr="000A32A3">
              <w:rPr>
                <w:rFonts w:cs="Times New Roman"/>
                <w:sz w:val="20"/>
                <w:szCs w:val="20"/>
                <w:lang w:val="en-US"/>
              </w:rPr>
              <w:t>,</w:t>
            </w:r>
            <w:r w:rsidRPr="000A32A3">
              <w:rPr>
                <w:rFonts w:cs="Times New Roman"/>
                <w:sz w:val="20"/>
                <w:szCs w:val="20"/>
                <w:lang w:val="en-US"/>
              </w:rPr>
              <w:t>43)</w:t>
            </w:r>
          </w:p>
        </w:tc>
        <w:tc>
          <w:tcPr>
            <w:tcW w:w="919"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(3</w:t>
            </w:r>
            <w:r w:rsidR="000C3576" w:rsidRPr="000A32A3">
              <w:rPr>
                <w:rFonts w:cs="Times New Roman"/>
                <w:sz w:val="20"/>
                <w:szCs w:val="20"/>
                <w:lang w:val="en-US"/>
              </w:rPr>
              <w:t>,</w:t>
            </w:r>
            <w:r w:rsidRPr="000A32A3">
              <w:rPr>
                <w:rFonts w:cs="Times New Roman"/>
                <w:sz w:val="20"/>
                <w:szCs w:val="20"/>
                <w:lang w:val="en-US"/>
              </w:rPr>
              <w:t>59)</w:t>
            </w:r>
          </w:p>
        </w:tc>
        <w:tc>
          <w:tcPr>
            <w:tcW w:w="651"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(10</w:t>
            </w:r>
            <w:r w:rsidR="000C3576" w:rsidRPr="000A32A3">
              <w:rPr>
                <w:rFonts w:cs="Times New Roman"/>
                <w:sz w:val="20"/>
                <w:szCs w:val="20"/>
                <w:lang w:val="en-US"/>
              </w:rPr>
              <w:t>,</w:t>
            </w:r>
            <w:r w:rsidRPr="000A32A3">
              <w:rPr>
                <w:rFonts w:cs="Times New Roman"/>
                <w:sz w:val="20"/>
                <w:szCs w:val="20"/>
                <w:lang w:val="en-US"/>
              </w:rPr>
              <w:t>59)</w:t>
            </w:r>
          </w:p>
        </w:tc>
        <w:tc>
          <w:tcPr>
            <w:tcW w:w="664"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(17</w:t>
            </w:r>
            <w:r w:rsidR="000C3576" w:rsidRPr="000A32A3">
              <w:rPr>
                <w:rFonts w:cs="Times New Roman"/>
                <w:sz w:val="20"/>
                <w:szCs w:val="20"/>
                <w:lang w:val="en-US"/>
              </w:rPr>
              <w:t>,</w:t>
            </w:r>
            <w:r w:rsidRPr="000A32A3">
              <w:rPr>
                <w:rFonts w:cs="Times New Roman"/>
                <w:sz w:val="20"/>
                <w:szCs w:val="20"/>
                <w:lang w:val="en-US"/>
              </w:rPr>
              <w:t>88)</w:t>
            </w:r>
          </w:p>
        </w:tc>
        <w:tc>
          <w:tcPr>
            <w:tcW w:w="653"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(11</w:t>
            </w:r>
            <w:r w:rsidR="000C3576" w:rsidRPr="000A32A3">
              <w:rPr>
                <w:rFonts w:cs="Times New Roman"/>
                <w:sz w:val="20"/>
                <w:szCs w:val="20"/>
                <w:lang w:val="en-US"/>
              </w:rPr>
              <w:t>,</w:t>
            </w:r>
            <w:r w:rsidRPr="000A32A3">
              <w:rPr>
                <w:rFonts w:cs="Times New Roman"/>
                <w:sz w:val="20"/>
                <w:szCs w:val="20"/>
                <w:lang w:val="en-US"/>
              </w:rPr>
              <w:t>48)</w:t>
            </w:r>
          </w:p>
        </w:tc>
      </w:tr>
      <w:tr w:rsidR="00CD16EF" w:rsidRPr="000A32A3" w:rsidTr="005C36C7">
        <w:tc>
          <w:tcPr>
            <w:tcW w:w="645"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R2</w:t>
            </w:r>
          </w:p>
        </w:tc>
        <w:tc>
          <w:tcPr>
            <w:tcW w:w="919"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24</w:t>
            </w:r>
          </w:p>
        </w:tc>
        <w:tc>
          <w:tcPr>
            <w:tcW w:w="549"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05</w:t>
            </w:r>
          </w:p>
        </w:tc>
        <w:tc>
          <w:tcPr>
            <w:tcW w:w="919" w:type="pct"/>
            <w:tcBorders>
              <w:top w:val="single" w:sz="4" w:space="0" w:color="auto"/>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19</w:t>
            </w:r>
          </w:p>
        </w:tc>
        <w:tc>
          <w:tcPr>
            <w:tcW w:w="651" w:type="pct"/>
            <w:tcBorders>
              <w:top w:val="single" w:sz="4" w:space="0" w:color="auto"/>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17</w:t>
            </w:r>
          </w:p>
        </w:tc>
        <w:tc>
          <w:tcPr>
            <w:tcW w:w="664"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05</w:t>
            </w:r>
          </w:p>
        </w:tc>
        <w:tc>
          <w:tcPr>
            <w:tcW w:w="653" w:type="pct"/>
            <w:tcBorders>
              <w:top w:val="single" w:sz="4" w:space="0" w:color="auto"/>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17</w:t>
            </w:r>
          </w:p>
        </w:tc>
      </w:tr>
      <w:tr w:rsidR="00CD16EF" w:rsidRPr="000A32A3" w:rsidTr="005C36C7">
        <w:tc>
          <w:tcPr>
            <w:tcW w:w="645"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Obs.</w:t>
            </w:r>
          </w:p>
        </w:tc>
        <w:tc>
          <w:tcPr>
            <w:tcW w:w="919"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85</w:t>
            </w:r>
          </w:p>
        </w:tc>
        <w:tc>
          <w:tcPr>
            <w:tcW w:w="549"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92</w:t>
            </w:r>
          </w:p>
        </w:tc>
        <w:tc>
          <w:tcPr>
            <w:tcW w:w="919" w:type="pct"/>
            <w:tcBorders>
              <w:top w:val="nil"/>
              <w:left w:val="nil"/>
              <w:bottom w:val="nil"/>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71</w:t>
            </w:r>
          </w:p>
        </w:tc>
        <w:tc>
          <w:tcPr>
            <w:tcW w:w="651" w:type="pct"/>
            <w:tcBorders>
              <w:top w:val="nil"/>
              <w:left w:val="single" w:sz="4" w:space="0" w:color="auto"/>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514</w:t>
            </w:r>
          </w:p>
        </w:tc>
        <w:tc>
          <w:tcPr>
            <w:tcW w:w="664"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571</w:t>
            </w:r>
          </w:p>
        </w:tc>
        <w:tc>
          <w:tcPr>
            <w:tcW w:w="653" w:type="pct"/>
            <w:tcBorders>
              <w:top w:val="nil"/>
              <w:left w:val="nil"/>
              <w:bottom w:val="nil"/>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409</w:t>
            </w:r>
          </w:p>
        </w:tc>
      </w:tr>
      <w:tr w:rsidR="00CD16EF" w:rsidRPr="000A32A3" w:rsidTr="005C36C7">
        <w:tc>
          <w:tcPr>
            <w:tcW w:w="645"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rPr>
                <w:rFonts w:cs="Times New Roman"/>
                <w:sz w:val="20"/>
                <w:szCs w:val="20"/>
              </w:rPr>
            </w:pPr>
            <w:r w:rsidRPr="000A32A3">
              <w:rPr>
                <w:rFonts w:cs="Times New Roman"/>
                <w:sz w:val="20"/>
                <w:szCs w:val="20"/>
              </w:rPr>
              <w:t>Prob&gt;F</w:t>
            </w:r>
          </w:p>
        </w:tc>
        <w:tc>
          <w:tcPr>
            <w:tcW w:w="919"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c>
          <w:tcPr>
            <w:tcW w:w="549"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c>
          <w:tcPr>
            <w:tcW w:w="919" w:type="pct"/>
            <w:tcBorders>
              <w:top w:val="nil"/>
              <w:left w:val="nil"/>
              <w:bottom w:val="single" w:sz="4" w:space="0" w:color="auto"/>
              <w:right w:val="single" w:sz="4" w:space="0" w:color="auto"/>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c>
          <w:tcPr>
            <w:tcW w:w="651" w:type="pct"/>
            <w:tcBorders>
              <w:top w:val="nil"/>
              <w:left w:val="single" w:sz="4" w:space="0" w:color="auto"/>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c>
          <w:tcPr>
            <w:tcW w:w="664"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c>
          <w:tcPr>
            <w:tcW w:w="653" w:type="pct"/>
            <w:tcBorders>
              <w:top w:val="nil"/>
              <w:left w:val="nil"/>
              <w:bottom w:val="single" w:sz="4" w:space="0" w:color="auto"/>
              <w:right w:val="nil"/>
            </w:tcBorders>
          </w:tcPr>
          <w:p w:rsidR="00CD16EF" w:rsidRPr="000A32A3" w:rsidRDefault="00CD16EF" w:rsidP="00982B81">
            <w:pPr>
              <w:widowControl w:val="0"/>
              <w:autoSpaceDE w:val="0"/>
              <w:autoSpaceDN w:val="0"/>
              <w:adjustRightInd w:val="0"/>
              <w:spacing w:after="0" w:line="240" w:lineRule="auto"/>
              <w:jc w:val="center"/>
              <w:rPr>
                <w:rFonts w:cs="Times New Roman"/>
                <w:sz w:val="20"/>
                <w:szCs w:val="20"/>
                <w:lang w:val="en-US"/>
              </w:rPr>
            </w:pPr>
            <w:r w:rsidRPr="000A32A3">
              <w:rPr>
                <w:rFonts w:cs="Times New Roman"/>
                <w:sz w:val="20"/>
                <w:szCs w:val="20"/>
                <w:lang w:val="en-US"/>
              </w:rPr>
              <w:t>0</w:t>
            </w:r>
            <w:r w:rsidR="000C3576" w:rsidRPr="000A32A3">
              <w:rPr>
                <w:rFonts w:cs="Times New Roman"/>
                <w:sz w:val="20"/>
                <w:szCs w:val="20"/>
                <w:lang w:val="en-US"/>
              </w:rPr>
              <w:t>,</w:t>
            </w:r>
            <w:r w:rsidRPr="000A32A3">
              <w:rPr>
                <w:rFonts w:cs="Times New Roman"/>
                <w:sz w:val="20"/>
                <w:szCs w:val="20"/>
                <w:lang w:val="en-US"/>
              </w:rPr>
              <w:t>00</w:t>
            </w:r>
          </w:p>
        </w:tc>
      </w:tr>
    </w:tbl>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Estatística entre parêntese. Erro padrão robusto à heterocedasticidade.</w:t>
      </w:r>
    </w:p>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 xml:space="preserve">* p&lt;0.10, ** p&lt;0.05, *** p&lt;0.01. </w:t>
      </w:r>
    </w:p>
    <w:p w:rsidR="00CD16EF" w:rsidRPr="000A32A3" w:rsidRDefault="00CD16EF" w:rsidP="00982B81">
      <w:pPr>
        <w:widowControl w:val="0"/>
        <w:autoSpaceDE w:val="0"/>
        <w:autoSpaceDN w:val="0"/>
        <w:adjustRightInd w:val="0"/>
        <w:spacing w:after="0" w:line="240" w:lineRule="auto"/>
        <w:rPr>
          <w:rFonts w:cs="Times New Roman"/>
          <w:sz w:val="18"/>
          <w:szCs w:val="20"/>
        </w:rPr>
      </w:pPr>
      <w:r w:rsidRPr="000A32A3">
        <w:rPr>
          <w:rFonts w:cs="Times New Roman"/>
          <w:sz w:val="18"/>
          <w:szCs w:val="20"/>
        </w:rPr>
        <w:t>Elaboração: autor.</w:t>
      </w:r>
    </w:p>
    <w:p w:rsidR="00376485" w:rsidRPr="000A32A3" w:rsidRDefault="00376485" w:rsidP="00982B81">
      <w:pPr>
        <w:spacing w:line="240" w:lineRule="auto"/>
        <w:jc w:val="left"/>
        <w:rPr>
          <w:rFonts w:eastAsiaTheme="majorEastAsia" w:cs="Times New Roman"/>
          <w:b/>
          <w:bCs/>
          <w:color w:val="000000" w:themeColor="text1"/>
          <w:szCs w:val="24"/>
        </w:rPr>
      </w:pPr>
    </w:p>
    <w:sectPr w:rsidR="00376485" w:rsidRPr="000A32A3" w:rsidSect="007B297C">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pgMar w:top="1418"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89" w:rsidRDefault="00725C89" w:rsidP="00243325">
      <w:pPr>
        <w:spacing w:after="0" w:line="240" w:lineRule="auto"/>
      </w:pPr>
      <w:r>
        <w:separator/>
      </w:r>
    </w:p>
  </w:endnote>
  <w:endnote w:type="continuationSeparator" w:id="0">
    <w:p w:rsidR="00725C89" w:rsidRDefault="00725C89" w:rsidP="002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MSY10">
    <w:altName w:val="MS Mincho"/>
    <w:panose1 w:val="00000000000000000000"/>
    <w:charset w:val="80"/>
    <w:family w:val="auto"/>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6" w:rsidRDefault="00E203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22146"/>
      <w:docPartObj>
        <w:docPartGallery w:val="Page Numbers (Bottom of Page)"/>
        <w:docPartUnique/>
      </w:docPartObj>
    </w:sdtPr>
    <w:sdtEndPr/>
    <w:sdtContent>
      <w:p w:rsidR="00E20396" w:rsidRDefault="00E20396">
        <w:pPr>
          <w:pStyle w:val="Rodap"/>
          <w:jc w:val="right"/>
        </w:pPr>
        <w:r>
          <w:fldChar w:fldCharType="begin"/>
        </w:r>
        <w:r>
          <w:instrText>PAGE   \* MERGEFORMAT</w:instrText>
        </w:r>
        <w:r>
          <w:fldChar w:fldCharType="separate"/>
        </w:r>
        <w:r w:rsidR="00244598">
          <w:rPr>
            <w:noProof/>
          </w:rPr>
          <w:t>2</w:t>
        </w:r>
        <w:r>
          <w:rPr>
            <w:noProof/>
          </w:rPr>
          <w:fldChar w:fldCharType="end"/>
        </w:r>
      </w:p>
    </w:sdtContent>
  </w:sdt>
  <w:p w:rsidR="00E20396" w:rsidRDefault="00E20396">
    <w:pPr>
      <w:pStyle w:val="Rodap"/>
    </w:pPr>
  </w:p>
  <w:p w:rsidR="00E20396" w:rsidRDefault="00E203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6" w:rsidRDefault="00E203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89" w:rsidRDefault="00725C89" w:rsidP="00243325">
      <w:pPr>
        <w:spacing w:after="0" w:line="240" w:lineRule="auto"/>
      </w:pPr>
      <w:r>
        <w:separator/>
      </w:r>
    </w:p>
  </w:footnote>
  <w:footnote w:type="continuationSeparator" w:id="0">
    <w:p w:rsidR="00725C89" w:rsidRDefault="00725C89" w:rsidP="00243325">
      <w:pPr>
        <w:spacing w:after="0" w:line="240" w:lineRule="auto"/>
      </w:pPr>
      <w:r>
        <w:continuationSeparator/>
      </w:r>
    </w:p>
  </w:footnote>
  <w:footnote w:id="1">
    <w:p w:rsidR="00B828EF" w:rsidRDefault="00B828EF" w:rsidP="00B828EF">
      <w:pPr>
        <w:pStyle w:val="Textodenotaderodap"/>
      </w:pPr>
      <w:r w:rsidRPr="00905475">
        <w:footnoteRef/>
      </w:r>
      <w:r>
        <w:t xml:space="preserve">  </w:t>
      </w:r>
      <w:r w:rsidRPr="002F56BB">
        <w:t xml:space="preserve">Doutor </w:t>
      </w:r>
      <w:r>
        <w:t xml:space="preserve">em Economia </w:t>
      </w:r>
      <w:r w:rsidRPr="002F56BB">
        <w:t xml:space="preserve">pela UnB </w:t>
      </w:r>
      <w:r>
        <w:t xml:space="preserve">e </w:t>
      </w:r>
      <w:r w:rsidRPr="002F56BB">
        <w:t>Pesquisador do I</w:t>
      </w:r>
      <w:r>
        <w:t xml:space="preserve">nstituto </w:t>
      </w:r>
      <w:r w:rsidRPr="002F56BB">
        <w:t>M</w:t>
      </w:r>
      <w:r>
        <w:t xml:space="preserve">auro </w:t>
      </w:r>
      <w:r w:rsidRPr="002F56BB">
        <w:t>B</w:t>
      </w:r>
      <w:r>
        <w:t xml:space="preserve">orges. E-mail: </w:t>
      </w:r>
      <w:r w:rsidRPr="00905475">
        <w:t>resendego@yahoo.com.br</w:t>
      </w:r>
      <w:r>
        <w:t xml:space="preserve"> Endereço: Rua c-263, setor nova suíça, Goiânia,GO – Brasil.</w:t>
      </w:r>
      <w:hyperlink r:id="rId1" w:history="1"/>
      <w:r>
        <w:t xml:space="preserve"> .Tel: 62-982336262. </w:t>
      </w:r>
    </w:p>
  </w:footnote>
  <w:footnote w:id="2">
    <w:p w:rsidR="00B828EF" w:rsidRDefault="00B828EF">
      <w:pPr>
        <w:pStyle w:val="Textodenotaderodap"/>
      </w:pPr>
      <w:r w:rsidRPr="00990E06">
        <w:footnoteRef/>
      </w:r>
      <w:r>
        <w:t xml:space="preserve"> </w:t>
      </w:r>
      <w:r w:rsidRPr="00990E06">
        <w:t>Conselho Administrativo de Defesa Econômica, Departamento de Estudos Econômicos (DEE).  Quadra SEPN 515 Bloco D Asa Norte 70770504 - Brasília, DF - Brasil</w:t>
      </w:r>
    </w:p>
  </w:footnote>
  <w:footnote w:id="3">
    <w:p w:rsidR="00B828EF" w:rsidRDefault="00B828EF" w:rsidP="00B828EF">
      <w:pPr>
        <w:pStyle w:val="Textodenotaderodap"/>
      </w:pPr>
      <w:r w:rsidRPr="00905475">
        <w:footnoteRef/>
      </w:r>
      <w:r>
        <w:t xml:space="preserve"> Doutorando em Economia pelo PIMES/UFPE. E-mail: </w:t>
      </w:r>
      <w:hyperlink r:id="rId2" w:history="1">
        <w:r w:rsidRPr="00905475">
          <w:t>felipexresende@gmail.com</w:t>
        </w:r>
      </w:hyperlink>
      <w:r>
        <w:t xml:space="preserve">. Endereço: </w:t>
      </w:r>
      <w:r w:rsidRPr="00905475">
        <w:t>Cidade Universitária, 50670901 - Recife, PE - Brasil</w:t>
      </w:r>
    </w:p>
  </w:footnote>
  <w:footnote w:id="4">
    <w:p w:rsidR="00E20396" w:rsidRDefault="00E20396">
      <w:pPr>
        <w:pStyle w:val="Textodenotaderodap"/>
      </w:pPr>
      <w:r>
        <w:rPr>
          <w:rStyle w:val="Refdenotaderodap"/>
        </w:rPr>
        <w:footnoteRef/>
      </w:r>
      <w:r>
        <w:t xml:space="preserve"> </w:t>
      </w:r>
      <w:r>
        <w:rPr>
          <w:rFonts w:cs="Times New Roman"/>
        </w:rPr>
        <w:t>Este estudo se limita a analisar os financiamentos do Estado de Goiás devido à disponibilidade de dados.</w:t>
      </w:r>
    </w:p>
  </w:footnote>
  <w:footnote w:id="5">
    <w:p w:rsidR="00E20396" w:rsidRPr="00FF3B41" w:rsidRDefault="00E20396" w:rsidP="00095488">
      <w:pPr>
        <w:pStyle w:val="Textodenotaderodap"/>
      </w:pPr>
      <w:r>
        <w:rPr>
          <w:rStyle w:val="Refdenotaderodap"/>
        </w:rPr>
        <w:footnoteRef/>
      </w:r>
      <w:r>
        <w:t xml:space="preserve"> Para esta análise, seria interessante utilizar as informações da função de produção (capital e trabalho), inclusive como forma de reduzir a arbitrariedade da análise insumo-produto. Entretanto, os </w:t>
      </w:r>
      <w:r w:rsidRPr="006B7479">
        <w:t>dados de capital</w:t>
      </w:r>
      <w:r>
        <w:t xml:space="preserve"> das empresas não estão disponíveis</w:t>
      </w:r>
      <w:r w:rsidRPr="006B7479">
        <w:t>.</w:t>
      </w:r>
    </w:p>
  </w:footnote>
  <w:footnote w:id="6">
    <w:p w:rsidR="00E20396" w:rsidRPr="00FF3B41" w:rsidRDefault="00E20396" w:rsidP="00CD16EF">
      <w:pPr>
        <w:pStyle w:val="Textodenotaderodap"/>
        <w:rPr>
          <w:rFonts w:cs="Times New Roman"/>
        </w:rPr>
      </w:pPr>
      <w:r w:rsidRPr="00514DD2">
        <w:rPr>
          <w:rStyle w:val="Refdenotaderodap"/>
          <w:rFonts w:cs="Times New Roman"/>
        </w:rPr>
        <w:footnoteRef/>
      </w:r>
      <w:r w:rsidRPr="00514DD2">
        <w:rPr>
          <w:rFonts w:cs="Times New Roman"/>
        </w:rPr>
        <w:t xml:space="preserve"> O método </w:t>
      </w:r>
      <w:r w:rsidRPr="00514DD2">
        <w:rPr>
          <w:rFonts w:cs="Times New Roman"/>
          <w:i/>
        </w:rPr>
        <w:t>jackstrap</w:t>
      </w:r>
      <w:r w:rsidRPr="00514DD2">
        <w:rPr>
          <w:rFonts w:cs="Times New Roman"/>
        </w:rPr>
        <w:t xml:space="preserve"> concebido por Sousa, Cribari-Neto e Stosic (2005) combina as técnicas de reamostragem </w:t>
      </w:r>
      <w:r w:rsidRPr="00514DD2">
        <w:rPr>
          <w:rFonts w:cs="Times New Roman"/>
          <w:i/>
        </w:rPr>
        <w:t>bootstrap</w:t>
      </w:r>
      <w:r w:rsidRPr="00514DD2">
        <w:rPr>
          <w:rFonts w:cs="Times New Roman"/>
        </w:rPr>
        <w:t xml:space="preserve"> e </w:t>
      </w:r>
      <w:r w:rsidRPr="00514DD2">
        <w:rPr>
          <w:rFonts w:cs="Times New Roman"/>
          <w:i/>
        </w:rPr>
        <w:t>jackknife</w:t>
      </w:r>
      <w:r w:rsidRPr="00514DD2">
        <w:rPr>
          <w:rFonts w:cs="Times New Roman"/>
        </w:rPr>
        <w:t>, para computar a eficiência técnica da DEA.</w:t>
      </w:r>
    </w:p>
  </w:footnote>
  <w:footnote w:id="7">
    <w:p w:rsidR="00E20396" w:rsidRDefault="00E20396">
      <w:pPr>
        <w:pStyle w:val="Textodenotaderodap"/>
      </w:pPr>
      <w:r w:rsidRPr="00B828EF">
        <w:rPr>
          <w:rStyle w:val="Refdenotaderodap"/>
        </w:rPr>
        <w:footnoteRef/>
      </w:r>
      <w:r w:rsidRPr="00B828EF">
        <w:t xml:space="preserve"> </w:t>
      </w:r>
      <w:r w:rsidRPr="00B828EF">
        <w:rPr>
          <w:rFonts w:cs="Times New Roman"/>
        </w:rPr>
        <w:t>As informações para o Estado de Goiás, sigilosas, foram gentilmente cedidas pelos gestores do programa dessa área de atuação.</w:t>
      </w:r>
    </w:p>
  </w:footnote>
  <w:footnote w:id="8">
    <w:p w:rsidR="00E20396" w:rsidRPr="00FF3B41" w:rsidRDefault="00E20396" w:rsidP="00CD16EF">
      <w:pPr>
        <w:pStyle w:val="Textodenotaderodap"/>
        <w:rPr>
          <w:rFonts w:cs="Times New Roman"/>
        </w:rPr>
      </w:pPr>
      <w:r w:rsidRPr="00514DD2">
        <w:rPr>
          <w:rStyle w:val="Refdenotaderodap"/>
          <w:rFonts w:cs="Times New Roman"/>
        </w:rPr>
        <w:footnoteRef/>
      </w:r>
      <w:r w:rsidRPr="00514DD2">
        <w:rPr>
          <w:rFonts w:cs="Times New Roman"/>
        </w:rPr>
        <w:t>Os coeficientes de eficiência encontrados pela metodologia DEA com retornos vari</w:t>
      </w:r>
      <w:r w:rsidRPr="00FF3B41">
        <w:rPr>
          <w:rFonts w:cs="Times New Roman"/>
        </w:rPr>
        <w:t>áveis</w:t>
      </w:r>
      <w:r w:rsidRPr="00514DD2">
        <w:rPr>
          <w:rFonts w:cs="Times New Roman"/>
        </w:rPr>
        <w:t xml:space="preserve"> de escala (BCC) com um insumo e um produto foram similares aos coeficientes do método fronteira de ordem-m, alcançando uma correlação estatística maior que 0,80, para ambos os períodos abordados.  </w:t>
      </w:r>
    </w:p>
  </w:footnote>
  <w:footnote w:id="9">
    <w:p w:rsidR="00E20396" w:rsidRPr="00FF3B41" w:rsidRDefault="00E20396" w:rsidP="00CD16EF">
      <w:pPr>
        <w:pStyle w:val="Textodenotaderodap"/>
        <w:rPr>
          <w:rFonts w:cs="Times New Roman"/>
        </w:rPr>
      </w:pPr>
      <w:r w:rsidRPr="00514DD2">
        <w:rPr>
          <w:rStyle w:val="Refdenotaderodap"/>
          <w:rFonts w:cs="Times New Roman"/>
        </w:rPr>
        <w:footnoteRef/>
      </w:r>
      <w:r w:rsidRPr="00514DD2">
        <w:rPr>
          <w:rFonts w:cs="Times New Roman"/>
        </w:rPr>
        <w:t xml:space="preserve"> De acordo com Ferreira e Braga (2007), o intervalo de confiança calculado por meio do </w:t>
      </w:r>
      <w:r w:rsidRPr="00514DD2">
        <w:rPr>
          <w:rFonts w:cs="Times New Roman"/>
          <w:i/>
        </w:rPr>
        <w:t>bootstrap</w:t>
      </w:r>
      <w:r w:rsidRPr="00514DD2">
        <w:rPr>
          <w:rFonts w:cs="Times New Roman"/>
        </w:rPr>
        <w:t xml:space="preserve"> é um procedimento mais refinado que o teste de diferença de médias.</w:t>
      </w:r>
    </w:p>
  </w:footnote>
  <w:footnote w:id="10">
    <w:p w:rsidR="00E20396" w:rsidRPr="00B828EF" w:rsidRDefault="00E20396">
      <w:pPr>
        <w:pStyle w:val="Textodenotaderodap"/>
      </w:pPr>
      <w:r w:rsidRPr="00B828EF">
        <w:rPr>
          <w:rStyle w:val="Refdenotaderodap"/>
        </w:rPr>
        <w:footnoteRef/>
      </w:r>
      <w:r w:rsidRPr="00B828EF">
        <w:t xml:space="preserve"> </w:t>
      </w:r>
      <w:r w:rsidRPr="00B828EF">
        <w:rPr>
          <w:rFonts w:cs="Times New Roman"/>
        </w:rPr>
        <w:t>O uso do último método se justifica, entre outros fatores, pela concentração de DMUs com eficiência compreendida entre determinados valores ou concentrada em pontos iguais ao valor da DMU eficiente.</w:t>
      </w:r>
    </w:p>
  </w:footnote>
  <w:footnote w:id="11">
    <w:p w:rsidR="00E20396" w:rsidRPr="00514DD2" w:rsidRDefault="00E20396" w:rsidP="00CD16EF">
      <w:pPr>
        <w:pStyle w:val="Textodenotaderodap"/>
        <w:rPr>
          <w:rFonts w:cs="Times New Roman"/>
        </w:rPr>
      </w:pPr>
      <w:r w:rsidRPr="00B828EF">
        <w:rPr>
          <w:rStyle w:val="Refdenotaderodap"/>
          <w:rFonts w:cs="Times New Roman"/>
        </w:rPr>
        <w:footnoteRef/>
      </w:r>
      <w:r w:rsidRPr="00B828EF">
        <w:rPr>
          <w:rFonts w:cs="Times New Roman"/>
        </w:rPr>
        <w:t xml:space="preserve"> Os resultados do segundo estágio com uso dos coeficientes de primeiro estágio calculados pelo método DEA com retornos variáveis</w:t>
      </w:r>
      <w:r w:rsidRPr="00514DD2">
        <w:rPr>
          <w:rFonts w:cs="Times New Roman"/>
        </w:rPr>
        <w:t xml:space="preserve"> (BCC) encontram-se no anexo. Estes foram semelhantes aos valores da metodologia robusta, de ordem-m, apresentados nesta seção.</w:t>
      </w:r>
    </w:p>
  </w:footnote>
  <w:footnote w:id="12">
    <w:p w:rsidR="00E20396" w:rsidRPr="00514DD2" w:rsidRDefault="00E20396" w:rsidP="00CD16EF">
      <w:pPr>
        <w:pStyle w:val="Textodenotaderodap"/>
        <w:rPr>
          <w:rFonts w:cs="Times New Roman"/>
        </w:rPr>
      </w:pPr>
      <w:r w:rsidRPr="00514DD2">
        <w:rPr>
          <w:rStyle w:val="Refdenotaderodap"/>
          <w:rFonts w:cs="Times New Roman"/>
        </w:rPr>
        <w:footnoteRef/>
      </w:r>
      <w:r w:rsidRPr="00514DD2">
        <w:rPr>
          <w:rFonts w:cs="Times New Roman"/>
        </w:rPr>
        <w:t xml:space="preserve"> As regressões com esta variável independente e o seu quadrado tiveram resultados similares.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6" w:rsidRDefault="00E203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6" w:rsidRDefault="00E20396">
    <w:pPr>
      <w:pStyle w:val="Cabealho"/>
    </w:pPr>
  </w:p>
  <w:p w:rsidR="00E20396" w:rsidRDefault="00E20396">
    <w:pPr>
      <w:pStyle w:val="Cabealho"/>
    </w:pPr>
  </w:p>
  <w:p w:rsidR="00E20396" w:rsidRDefault="00E203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96" w:rsidRDefault="00E203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34D"/>
    <w:multiLevelType w:val="multilevel"/>
    <w:tmpl w:val="834EEC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630D11"/>
    <w:multiLevelType w:val="hybridMultilevel"/>
    <w:tmpl w:val="12DE1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727BFE"/>
    <w:multiLevelType w:val="hybridMultilevel"/>
    <w:tmpl w:val="2BB42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69"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7C1025"/>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E11175"/>
    <w:multiLevelType w:val="hybridMultilevel"/>
    <w:tmpl w:val="CAD28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0A2F22"/>
    <w:multiLevelType w:val="hybridMultilevel"/>
    <w:tmpl w:val="ABD468F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1852F2"/>
    <w:multiLevelType w:val="multilevel"/>
    <w:tmpl w:val="A95E2A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4056EB"/>
    <w:multiLevelType w:val="hybridMultilevel"/>
    <w:tmpl w:val="8FE00F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3C1A6CB7"/>
    <w:multiLevelType w:val="hybridMultilevel"/>
    <w:tmpl w:val="DC9C0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125AED"/>
    <w:multiLevelType w:val="hybridMultilevel"/>
    <w:tmpl w:val="1EA4D5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E2395A"/>
    <w:multiLevelType w:val="hybridMultilevel"/>
    <w:tmpl w:val="4CAE0A1E"/>
    <w:lvl w:ilvl="0" w:tplc="ADD2E66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59915138"/>
    <w:multiLevelType w:val="multilevel"/>
    <w:tmpl w:val="9FC60B6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E13F14"/>
    <w:multiLevelType w:val="hybridMultilevel"/>
    <w:tmpl w:val="2CA04DA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5F453475"/>
    <w:multiLevelType w:val="hybridMultilevel"/>
    <w:tmpl w:val="388A65C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64C95232"/>
    <w:multiLevelType w:val="hybridMultilevel"/>
    <w:tmpl w:val="67605F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C31FB"/>
    <w:multiLevelType w:val="multilevel"/>
    <w:tmpl w:val="20DE39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AC6973"/>
    <w:multiLevelType w:val="multilevel"/>
    <w:tmpl w:val="A95E2A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A95EF0"/>
    <w:multiLevelType w:val="hybridMultilevel"/>
    <w:tmpl w:val="BDC01F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B960A19"/>
    <w:multiLevelType w:val="hybridMultilevel"/>
    <w:tmpl w:val="06D2F48A"/>
    <w:lvl w:ilvl="0" w:tplc="96E2FB7A">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5"/>
  </w:num>
  <w:num w:numId="5">
    <w:abstractNumId w:val="4"/>
  </w:num>
  <w:num w:numId="6">
    <w:abstractNumId w:val="18"/>
  </w:num>
  <w:num w:numId="7">
    <w:abstractNumId w:val="14"/>
  </w:num>
  <w:num w:numId="8">
    <w:abstractNumId w:val="13"/>
  </w:num>
  <w:num w:numId="9">
    <w:abstractNumId w:val="10"/>
  </w:num>
  <w:num w:numId="10">
    <w:abstractNumId w:val="8"/>
  </w:num>
  <w:num w:numId="11">
    <w:abstractNumId w:val="2"/>
  </w:num>
  <w:num w:numId="12">
    <w:abstractNumId w:val="11"/>
  </w:num>
  <w:num w:numId="13">
    <w:abstractNumId w:val="9"/>
  </w:num>
  <w:num w:numId="14">
    <w:abstractNumId w:val="1"/>
  </w:num>
  <w:num w:numId="15">
    <w:abstractNumId w:val="17"/>
  </w:num>
  <w:num w:numId="16">
    <w:abstractNumId w:val="3"/>
  </w:num>
  <w:num w:numId="17">
    <w:abstractNumId w:val="6"/>
  </w:num>
  <w:num w:numId="18">
    <w:abstractNumId w:val="0"/>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2"/>
    <w:rsid w:val="00000D96"/>
    <w:rsid w:val="000034D3"/>
    <w:rsid w:val="000057F3"/>
    <w:rsid w:val="0000699D"/>
    <w:rsid w:val="000105A6"/>
    <w:rsid w:val="000107EE"/>
    <w:rsid w:val="00016078"/>
    <w:rsid w:val="00024B1A"/>
    <w:rsid w:val="000264E9"/>
    <w:rsid w:val="000309CB"/>
    <w:rsid w:val="00031B05"/>
    <w:rsid w:val="000331E7"/>
    <w:rsid w:val="00037CCB"/>
    <w:rsid w:val="000410C8"/>
    <w:rsid w:val="00042C5D"/>
    <w:rsid w:val="00042C79"/>
    <w:rsid w:val="000445EC"/>
    <w:rsid w:val="00044BA8"/>
    <w:rsid w:val="00044CC4"/>
    <w:rsid w:val="00045252"/>
    <w:rsid w:val="000459FF"/>
    <w:rsid w:val="00045B5C"/>
    <w:rsid w:val="0004788D"/>
    <w:rsid w:val="0005039B"/>
    <w:rsid w:val="00050B9D"/>
    <w:rsid w:val="000510E1"/>
    <w:rsid w:val="00052A45"/>
    <w:rsid w:val="00053140"/>
    <w:rsid w:val="0006072E"/>
    <w:rsid w:val="00061B4D"/>
    <w:rsid w:val="00061B77"/>
    <w:rsid w:val="00062656"/>
    <w:rsid w:val="000631D2"/>
    <w:rsid w:val="0006390B"/>
    <w:rsid w:val="00070AC9"/>
    <w:rsid w:val="00072661"/>
    <w:rsid w:val="00072C7C"/>
    <w:rsid w:val="0007367D"/>
    <w:rsid w:val="0007552E"/>
    <w:rsid w:val="0007608F"/>
    <w:rsid w:val="00076660"/>
    <w:rsid w:val="0007685B"/>
    <w:rsid w:val="000820BB"/>
    <w:rsid w:val="00083852"/>
    <w:rsid w:val="00083C99"/>
    <w:rsid w:val="00092A88"/>
    <w:rsid w:val="0009332F"/>
    <w:rsid w:val="00093E66"/>
    <w:rsid w:val="00095488"/>
    <w:rsid w:val="00096CCF"/>
    <w:rsid w:val="00097E88"/>
    <w:rsid w:val="000A0192"/>
    <w:rsid w:val="000A10C5"/>
    <w:rsid w:val="000A32A3"/>
    <w:rsid w:val="000A516C"/>
    <w:rsid w:val="000A6090"/>
    <w:rsid w:val="000A662F"/>
    <w:rsid w:val="000B6BE2"/>
    <w:rsid w:val="000C0455"/>
    <w:rsid w:val="000C065B"/>
    <w:rsid w:val="000C321D"/>
    <w:rsid w:val="000C3576"/>
    <w:rsid w:val="000C6D77"/>
    <w:rsid w:val="000C75B7"/>
    <w:rsid w:val="000D1032"/>
    <w:rsid w:val="000D4B32"/>
    <w:rsid w:val="000D5AD9"/>
    <w:rsid w:val="000E14B3"/>
    <w:rsid w:val="000E2115"/>
    <w:rsid w:val="000E3A95"/>
    <w:rsid w:val="000E40B6"/>
    <w:rsid w:val="000F22C5"/>
    <w:rsid w:val="000F3B8D"/>
    <w:rsid w:val="000F4513"/>
    <w:rsid w:val="000F4D9C"/>
    <w:rsid w:val="000F57C8"/>
    <w:rsid w:val="001009F3"/>
    <w:rsid w:val="00101F6E"/>
    <w:rsid w:val="001031C2"/>
    <w:rsid w:val="0010333A"/>
    <w:rsid w:val="00104D59"/>
    <w:rsid w:val="00104F61"/>
    <w:rsid w:val="001056DF"/>
    <w:rsid w:val="001126FD"/>
    <w:rsid w:val="00113C1F"/>
    <w:rsid w:val="001144B5"/>
    <w:rsid w:val="0012464B"/>
    <w:rsid w:val="001271FE"/>
    <w:rsid w:val="00127B8D"/>
    <w:rsid w:val="001301F9"/>
    <w:rsid w:val="0013200D"/>
    <w:rsid w:val="00133057"/>
    <w:rsid w:val="0013330A"/>
    <w:rsid w:val="00134677"/>
    <w:rsid w:val="001373E3"/>
    <w:rsid w:val="001430FB"/>
    <w:rsid w:val="00143470"/>
    <w:rsid w:val="00144668"/>
    <w:rsid w:val="00144DEA"/>
    <w:rsid w:val="00145AE1"/>
    <w:rsid w:val="001505E2"/>
    <w:rsid w:val="00151829"/>
    <w:rsid w:val="001518C5"/>
    <w:rsid w:val="00154C77"/>
    <w:rsid w:val="00156BEE"/>
    <w:rsid w:val="00157920"/>
    <w:rsid w:val="001613F8"/>
    <w:rsid w:val="0016430D"/>
    <w:rsid w:val="0016627E"/>
    <w:rsid w:val="00166ACA"/>
    <w:rsid w:val="00166ECA"/>
    <w:rsid w:val="001677E7"/>
    <w:rsid w:val="00172528"/>
    <w:rsid w:val="0017651B"/>
    <w:rsid w:val="00176C84"/>
    <w:rsid w:val="00180B39"/>
    <w:rsid w:val="00181CEA"/>
    <w:rsid w:val="00182CF3"/>
    <w:rsid w:val="001876F6"/>
    <w:rsid w:val="00190190"/>
    <w:rsid w:val="00190342"/>
    <w:rsid w:val="00190F4F"/>
    <w:rsid w:val="00191AD2"/>
    <w:rsid w:val="001946FF"/>
    <w:rsid w:val="001A1223"/>
    <w:rsid w:val="001A1B97"/>
    <w:rsid w:val="001A317A"/>
    <w:rsid w:val="001A4221"/>
    <w:rsid w:val="001A5746"/>
    <w:rsid w:val="001A5B0E"/>
    <w:rsid w:val="001A60FF"/>
    <w:rsid w:val="001A6465"/>
    <w:rsid w:val="001A6E10"/>
    <w:rsid w:val="001A7A2E"/>
    <w:rsid w:val="001B1E80"/>
    <w:rsid w:val="001B242D"/>
    <w:rsid w:val="001B3DB9"/>
    <w:rsid w:val="001B62C9"/>
    <w:rsid w:val="001B6B9E"/>
    <w:rsid w:val="001C0645"/>
    <w:rsid w:val="001C2703"/>
    <w:rsid w:val="001C3A22"/>
    <w:rsid w:val="001C4317"/>
    <w:rsid w:val="001C4EE4"/>
    <w:rsid w:val="001C572F"/>
    <w:rsid w:val="001C7918"/>
    <w:rsid w:val="001D4982"/>
    <w:rsid w:val="001D560C"/>
    <w:rsid w:val="001D5F2E"/>
    <w:rsid w:val="001E0035"/>
    <w:rsid w:val="001E00C8"/>
    <w:rsid w:val="001E04C0"/>
    <w:rsid w:val="001E058A"/>
    <w:rsid w:val="001F0B9C"/>
    <w:rsid w:val="001F330D"/>
    <w:rsid w:val="001F7554"/>
    <w:rsid w:val="00202A84"/>
    <w:rsid w:val="00202D23"/>
    <w:rsid w:val="00202D88"/>
    <w:rsid w:val="0020479F"/>
    <w:rsid w:val="00205243"/>
    <w:rsid w:val="002066B8"/>
    <w:rsid w:val="002075BC"/>
    <w:rsid w:val="00207DD4"/>
    <w:rsid w:val="00210ABA"/>
    <w:rsid w:val="00211CF0"/>
    <w:rsid w:val="0021624E"/>
    <w:rsid w:val="0022069D"/>
    <w:rsid w:val="002214BF"/>
    <w:rsid w:val="002237A8"/>
    <w:rsid w:val="002273F8"/>
    <w:rsid w:val="002318D5"/>
    <w:rsid w:val="0023284D"/>
    <w:rsid w:val="00233857"/>
    <w:rsid w:val="002358AC"/>
    <w:rsid w:val="00236309"/>
    <w:rsid w:val="00237B16"/>
    <w:rsid w:val="0024159E"/>
    <w:rsid w:val="00241A35"/>
    <w:rsid w:val="00242260"/>
    <w:rsid w:val="00243325"/>
    <w:rsid w:val="00244598"/>
    <w:rsid w:val="002452B2"/>
    <w:rsid w:val="00245F3B"/>
    <w:rsid w:val="00246811"/>
    <w:rsid w:val="002472AD"/>
    <w:rsid w:val="00252762"/>
    <w:rsid w:val="0025320A"/>
    <w:rsid w:val="00256521"/>
    <w:rsid w:val="002568E1"/>
    <w:rsid w:val="0025726C"/>
    <w:rsid w:val="00257DCC"/>
    <w:rsid w:val="00260BCA"/>
    <w:rsid w:val="00262965"/>
    <w:rsid w:val="00263CC1"/>
    <w:rsid w:val="002640CA"/>
    <w:rsid w:val="002675C5"/>
    <w:rsid w:val="00270087"/>
    <w:rsid w:val="00270CE6"/>
    <w:rsid w:val="0027161C"/>
    <w:rsid w:val="0027232C"/>
    <w:rsid w:val="00273108"/>
    <w:rsid w:val="00276838"/>
    <w:rsid w:val="00277C5F"/>
    <w:rsid w:val="002803BB"/>
    <w:rsid w:val="00280FF0"/>
    <w:rsid w:val="00283CC9"/>
    <w:rsid w:val="00283FF6"/>
    <w:rsid w:val="00286089"/>
    <w:rsid w:val="0028667C"/>
    <w:rsid w:val="0028749A"/>
    <w:rsid w:val="00290181"/>
    <w:rsid w:val="002904F0"/>
    <w:rsid w:val="00291A3E"/>
    <w:rsid w:val="002960A8"/>
    <w:rsid w:val="00296379"/>
    <w:rsid w:val="00296767"/>
    <w:rsid w:val="002A0770"/>
    <w:rsid w:val="002A0907"/>
    <w:rsid w:val="002A2906"/>
    <w:rsid w:val="002A4AB6"/>
    <w:rsid w:val="002A77D6"/>
    <w:rsid w:val="002B21E2"/>
    <w:rsid w:val="002B3BA1"/>
    <w:rsid w:val="002B3D93"/>
    <w:rsid w:val="002C087C"/>
    <w:rsid w:val="002C1AD5"/>
    <w:rsid w:val="002C2F24"/>
    <w:rsid w:val="002C3F27"/>
    <w:rsid w:val="002C4BF5"/>
    <w:rsid w:val="002C5075"/>
    <w:rsid w:val="002C508A"/>
    <w:rsid w:val="002C5124"/>
    <w:rsid w:val="002C7937"/>
    <w:rsid w:val="002D0AD0"/>
    <w:rsid w:val="002D0CDC"/>
    <w:rsid w:val="002D10FC"/>
    <w:rsid w:val="002D17A0"/>
    <w:rsid w:val="002D3313"/>
    <w:rsid w:val="002D34D2"/>
    <w:rsid w:val="002D46BD"/>
    <w:rsid w:val="002D62C0"/>
    <w:rsid w:val="002D64F8"/>
    <w:rsid w:val="002E02A3"/>
    <w:rsid w:val="002E0C5B"/>
    <w:rsid w:val="002E2329"/>
    <w:rsid w:val="002E275B"/>
    <w:rsid w:val="002E3F24"/>
    <w:rsid w:val="002E4138"/>
    <w:rsid w:val="002E5050"/>
    <w:rsid w:val="002E6699"/>
    <w:rsid w:val="002E718C"/>
    <w:rsid w:val="002E77A4"/>
    <w:rsid w:val="002F02C7"/>
    <w:rsid w:val="002F17ED"/>
    <w:rsid w:val="002F321D"/>
    <w:rsid w:val="002F472E"/>
    <w:rsid w:val="002F6D5A"/>
    <w:rsid w:val="00300A6B"/>
    <w:rsid w:val="00302456"/>
    <w:rsid w:val="00306696"/>
    <w:rsid w:val="003117DD"/>
    <w:rsid w:val="0031672C"/>
    <w:rsid w:val="00317944"/>
    <w:rsid w:val="00317D6F"/>
    <w:rsid w:val="00320658"/>
    <w:rsid w:val="00320926"/>
    <w:rsid w:val="00320F6B"/>
    <w:rsid w:val="003211E5"/>
    <w:rsid w:val="00325728"/>
    <w:rsid w:val="00326AC6"/>
    <w:rsid w:val="003270D8"/>
    <w:rsid w:val="00331318"/>
    <w:rsid w:val="00334A77"/>
    <w:rsid w:val="0033596F"/>
    <w:rsid w:val="00341069"/>
    <w:rsid w:val="003439A5"/>
    <w:rsid w:val="003441B9"/>
    <w:rsid w:val="0034565D"/>
    <w:rsid w:val="00346B64"/>
    <w:rsid w:val="00346C90"/>
    <w:rsid w:val="0034706D"/>
    <w:rsid w:val="003527D7"/>
    <w:rsid w:val="00354DA9"/>
    <w:rsid w:val="003578EE"/>
    <w:rsid w:val="00360024"/>
    <w:rsid w:val="003613A2"/>
    <w:rsid w:val="00364193"/>
    <w:rsid w:val="003641B5"/>
    <w:rsid w:val="003722B2"/>
    <w:rsid w:val="00373A44"/>
    <w:rsid w:val="003759F1"/>
    <w:rsid w:val="00376485"/>
    <w:rsid w:val="003773CC"/>
    <w:rsid w:val="003810B6"/>
    <w:rsid w:val="003813B3"/>
    <w:rsid w:val="00382702"/>
    <w:rsid w:val="00382F33"/>
    <w:rsid w:val="003851AA"/>
    <w:rsid w:val="00386EE8"/>
    <w:rsid w:val="00391F47"/>
    <w:rsid w:val="0039316E"/>
    <w:rsid w:val="00396343"/>
    <w:rsid w:val="00396A22"/>
    <w:rsid w:val="00397971"/>
    <w:rsid w:val="003A1B4C"/>
    <w:rsid w:val="003A1DE0"/>
    <w:rsid w:val="003A2B3C"/>
    <w:rsid w:val="003A4C6E"/>
    <w:rsid w:val="003A606A"/>
    <w:rsid w:val="003B2831"/>
    <w:rsid w:val="003B2BDA"/>
    <w:rsid w:val="003B4266"/>
    <w:rsid w:val="003B47C8"/>
    <w:rsid w:val="003B5038"/>
    <w:rsid w:val="003B515F"/>
    <w:rsid w:val="003B5592"/>
    <w:rsid w:val="003B5877"/>
    <w:rsid w:val="003B69A1"/>
    <w:rsid w:val="003C0405"/>
    <w:rsid w:val="003C075F"/>
    <w:rsid w:val="003C3CC9"/>
    <w:rsid w:val="003C4BF6"/>
    <w:rsid w:val="003D42CE"/>
    <w:rsid w:val="003D4A50"/>
    <w:rsid w:val="003D6421"/>
    <w:rsid w:val="003E30B0"/>
    <w:rsid w:val="003F0F28"/>
    <w:rsid w:val="003F6269"/>
    <w:rsid w:val="004002D0"/>
    <w:rsid w:val="0040039E"/>
    <w:rsid w:val="00400735"/>
    <w:rsid w:val="00400884"/>
    <w:rsid w:val="00403D63"/>
    <w:rsid w:val="0040481F"/>
    <w:rsid w:val="0040494B"/>
    <w:rsid w:val="004113CA"/>
    <w:rsid w:val="00412559"/>
    <w:rsid w:val="00413549"/>
    <w:rsid w:val="00415940"/>
    <w:rsid w:val="00416A5E"/>
    <w:rsid w:val="004178F4"/>
    <w:rsid w:val="00421088"/>
    <w:rsid w:val="00421EE1"/>
    <w:rsid w:val="0042295C"/>
    <w:rsid w:val="00422B1F"/>
    <w:rsid w:val="00425BCB"/>
    <w:rsid w:val="00425E69"/>
    <w:rsid w:val="004263AE"/>
    <w:rsid w:val="004271B5"/>
    <w:rsid w:val="0043294B"/>
    <w:rsid w:val="00433B8C"/>
    <w:rsid w:val="00433C91"/>
    <w:rsid w:val="00434536"/>
    <w:rsid w:val="00434851"/>
    <w:rsid w:val="00435F22"/>
    <w:rsid w:val="00437FE3"/>
    <w:rsid w:val="00440CC4"/>
    <w:rsid w:val="00441952"/>
    <w:rsid w:val="00444A06"/>
    <w:rsid w:val="004452AE"/>
    <w:rsid w:val="00445D96"/>
    <w:rsid w:val="0044756D"/>
    <w:rsid w:val="00447BBD"/>
    <w:rsid w:val="004537EB"/>
    <w:rsid w:val="0045397C"/>
    <w:rsid w:val="004554EB"/>
    <w:rsid w:val="004560C7"/>
    <w:rsid w:val="00457698"/>
    <w:rsid w:val="0045778E"/>
    <w:rsid w:val="0046037B"/>
    <w:rsid w:val="00462DF8"/>
    <w:rsid w:val="00463909"/>
    <w:rsid w:val="0046538C"/>
    <w:rsid w:val="00466E31"/>
    <w:rsid w:val="00466EAC"/>
    <w:rsid w:val="00467F73"/>
    <w:rsid w:val="00470767"/>
    <w:rsid w:val="00470CC4"/>
    <w:rsid w:val="004718C5"/>
    <w:rsid w:val="00474914"/>
    <w:rsid w:val="0047495B"/>
    <w:rsid w:val="00477750"/>
    <w:rsid w:val="00482279"/>
    <w:rsid w:val="004826F6"/>
    <w:rsid w:val="004844B2"/>
    <w:rsid w:val="00485799"/>
    <w:rsid w:val="004876E0"/>
    <w:rsid w:val="004904A8"/>
    <w:rsid w:val="00490957"/>
    <w:rsid w:val="00491726"/>
    <w:rsid w:val="00493C39"/>
    <w:rsid w:val="004A3B92"/>
    <w:rsid w:val="004A62E5"/>
    <w:rsid w:val="004A65A5"/>
    <w:rsid w:val="004A6D91"/>
    <w:rsid w:val="004B2950"/>
    <w:rsid w:val="004B4D3D"/>
    <w:rsid w:val="004B7DCC"/>
    <w:rsid w:val="004C3297"/>
    <w:rsid w:val="004C3B78"/>
    <w:rsid w:val="004C4EAB"/>
    <w:rsid w:val="004D1C79"/>
    <w:rsid w:val="004D2142"/>
    <w:rsid w:val="004D224E"/>
    <w:rsid w:val="004D28A0"/>
    <w:rsid w:val="004D398C"/>
    <w:rsid w:val="004D5052"/>
    <w:rsid w:val="004D6412"/>
    <w:rsid w:val="004E0FD5"/>
    <w:rsid w:val="004E2D7A"/>
    <w:rsid w:val="004E5798"/>
    <w:rsid w:val="004E6831"/>
    <w:rsid w:val="004E7635"/>
    <w:rsid w:val="004F0A78"/>
    <w:rsid w:val="004F2FEC"/>
    <w:rsid w:val="004F6430"/>
    <w:rsid w:val="004F7C71"/>
    <w:rsid w:val="00500001"/>
    <w:rsid w:val="0050057C"/>
    <w:rsid w:val="00500FA7"/>
    <w:rsid w:val="005048D3"/>
    <w:rsid w:val="00504C4E"/>
    <w:rsid w:val="00504D74"/>
    <w:rsid w:val="00506005"/>
    <w:rsid w:val="005075EE"/>
    <w:rsid w:val="00507CE1"/>
    <w:rsid w:val="005107CC"/>
    <w:rsid w:val="00514DD2"/>
    <w:rsid w:val="00524A99"/>
    <w:rsid w:val="005307D1"/>
    <w:rsid w:val="00530AE0"/>
    <w:rsid w:val="00533E13"/>
    <w:rsid w:val="0053626F"/>
    <w:rsid w:val="00536C9F"/>
    <w:rsid w:val="0054059C"/>
    <w:rsid w:val="005413BA"/>
    <w:rsid w:val="0054255E"/>
    <w:rsid w:val="0054266F"/>
    <w:rsid w:val="00542E0A"/>
    <w:rsid w:val="00543A70"/>
    <w:rsid w:val="00545029"/>
    <w:rsid w:val="00546CEF"/>
    <w:rsid w:val="005475E9"/>
    <w:rsid w:val="0054769E"/>
    <w:rsid w:val="00550E5F"/>
    <w:rsid w:val="00552818"/>
    <w:rsid w:val="00553488"/>
    <w:rsid w:val="00553906"/>
    <w:rsid w:val="00553FB0"/>
    <w:rsid w:val="00555392"/>
    <w:rsid w:val="005554B6"/>
    <w:rsid w:val="005564FD"/>
    <w:rsid w:val="00562274"/>
    <w:rsid w:val="005627AC"/>
    <w:rsid w:val="00563201"/>
    <w:rsid w:val="0056452A"/>
    <w:rsid w:val="005664D4"/>
    <w:rsid w:val="00566EB4"/>
    <w:rsid w:val="00567CB2"/>
    <w:rsid w:val="005706B6"/>
    <w:rsid w:val="00571932"/>
    <w:rsid w:val="005728A2"/>
    <w:rsid w:val="005729DC"/>
    <w:rsid w:val="00573C8E"/>
    <w:rsid w:val="00577AA8"/>
    <w:rsid w:val="00577BF5"/>
    <w:rsid w:val="00587E47"/>
    <w:rsid w:val="005902D7"/>
    <w:rsid w:val="00590D83"/>
    <w:rsid w:val="00592AE9"/>
    <w:rsid w:val="00594063"/>
    <w:rsid w:val="00596783"/>
    <w:rsid w:val="005975DB"/>
    <w:rsid w:val="005A0B25"/>
    <w:rsid w:val="005A262B"/>
    <w:rsid w:val="005A375D"/>
    <w:rsid w:val="005A3D8B"/>
    <w:rsid w:val="005A4F80"/>
    <w:rsid w:val="005A58A9"/>
    <w:rsid w:val="005B440A"/>
    <w:rsid w:val="005B65A0"/>
    <w:rsid w:val="005C0512"/>
    <w:rsid w:val="005C0B02"/>
    <w:rsid w:val="005C1722"/>
    <w:rsid w:val="005C36C7"/>
    <w:rsid w:val="005C4A73"/>
    <w:rsid w:val="005C6361"/>
    <w:rsid w:val="005C724C"/>
    <w:rsid w:val="005C735B"/>
    <w:rsid w:val="005D19E4"/>
    <w:rsid w:val="005D1D46"/>
    <w:rsid w:val="005D36F8"/>
    <w:rsid w:val="005D6C09"/>
    <w:rsid w:val="005D6D7A"/>
    <w:rsid w:val="005D7AFC"/>
    <w:rsid w:val="005E0F43"/>
    <w:rsid w:val="005E3E81"/>
    <w:rsid w:val="005E4286"/>
    <w:rsid w:val="005E4591"/>
    <w:rsid w:val="005F0D78"/>
    <w:rsid w:val="005F342F"/>
    <w:rsid w:val="005F507B"/>
    <w:rsid w:val="005F69C2"/>
    <w:rsid w:val="00602C36"/>
    <w:rsid w:val="00604A2A"/>
    <w:rsid w:val="0061051B"/>
    <w:rsid w:val="006120E8"/>
    <w:rsid w:val="006129D5"/>
    <w:rsid w:val="0061588D"/>
    <w:rsid w:val="00616424"/>
    <w:rsid w:val="00616C94"/>
    <w:rsid w:val="00617BFB"/>
    <w:rsid w:val="00617F93"/>
    <w:rsid w:val="00622695"/>
    <w:rsid w:val="00627334"/>
    <w:rsid w:val="006306D4"/>
    <w:rsid w:val="0063181D"/>
    <w:rsid w:val="006324B3"/>
    <w:rsid w:val="00632D06"/>
    <w:rsid w:val="00633954"/>
    <w:rsid w:val="00633C6B"/>
    <w:rsid w:val="006406C2"/>
    <w:rsid w:val="00642EF2"/>
    <w:rsid w:val="00645483"/>
    <w:rsid w:val="00652234"/>
    <w:rsid w:val="00656870"/>
    <w:rsid w:val="00661823"/>
    <w:rsid w:val="00664A10"/>
    <w:rsid w:val="0066575F"/>
    <w:rsid w:val="00666D48"/>
    <w:rsid w:val="00666D85"/>
    <w:rsid w:val="0067331B"/>
    <w:rsid w:val="006738DE"/>
    <w:rsid w:val="00676211"/>
    <w:rsid w:val="006768C2"/>
    <w:rsid w:val="00685A84"/>
    <w:rsid w:val="00685E7F"/>
    <w:rsid w:val="0069067A"/>
    <w:rsid w:val="00693AA3"/>
    <w:rsid w:val="00695683"/>
    <w:rsid w:val="00695916"/>
    <w:rsid w:val="00696122"/>
    <w:rsid w:val="00696690"/>
    <w:rsid w:val="00696ABF"/>
    <w:rsid w:val="006979A7"/>
    <w:rsid w:val="006A46B4"/>
    <w:rsid w:val="006A7EDE"/>
    <w:rsid w:val="006B0878"/>
    <w:rsid w:val="006B1EC7"/>
    <w:rsid w:val="006B7479"/>
    <w:rsid w:val="006C022B"/>
    <w:rsid w:val="006C25DF"/>
    <w:rsid w:val="006C45AD"/>
    <w:rsid w:val="006C798E"/>
    <w:rsid w:val="006D0632"/>
    <w:rsid w:val="006D1ACB"/>
    <w:rsid w:val="006D1BAF"/>
    <w:rsid w:val="006D424E"/>
    <w:rsid w:val="006D7D0D"/>
    <w:rsid w:val="006E3B9F"/>
    <w:rsid w:val="006E6076"/>
    <w:rsid w:val="006E6B19"/>
    <w:rsid w:val="006E734A"/>
    <w:rsid w:val="006F3596"/>
    <w:rsid w:val="006F3947"/>
    <w:rsid w:val="00700E5B"/>
    <w:rsid w:val="00702F61"/>
    <w:rsid w:val="00710403"/>
    <w:rsid w:val="0071252F"/>
    <w:rsid w:val="00712AA5"/>
    <w:rsid w:val="00714FCA"/>
    <w:rsid w:val="0071600A"/>
    <w:rsid w:val="007206B4"/>
    <w:rsid w:val="00721A7B"/>
    <w:rsid w:val="007234AF"/>
    <w:rsid w:val="00723583"/>
    <w:rsid w:val="007252E5"/>
    <w:rsid w:val="00725C89"/>
    <w:rsid w:val="00725DE8"/>
    <w:rsid w:val="007264AB"/>
    <w:rsid w:val="0072694A"/>
    <w:rsid w:val="00726977"/>
    <w:rsid w:val="007279A5"/>
    <w:rsid w:val="00727DF2"/>
    <w:rsid w:val="00731E4B"/>
    <w:rsid w:val="00732759"/>
    <w:rsid w:val="00732B52"/>
    <w:rsid w:val="00732B7B"/>
    <w:rsid w:val="00733CE7"/>
    <w:rsid w:val="007353EE"/>
    <w:rsid w:val="00737781"/>
    <w:rsid w:val="00742533"/>
    <w:rsid w:val="00742759"/>
    <w:rsid w:val="007427A4"/>
    <w:rsid w:val="00743FE5"/>
    <w:rsid w:val="007454D0"/>
    <w:rsid w:val="007456B4"/>
    <w:rsid w:val="00746043"/>
    <w:rsid w:val="007531A3"/>
    <w:rsid w:val="00753EF6"/>
    <w:rsid w:val="00754A27"/>
    <w:rsid w:val="00755267"/>
    <w:rsid w:val="00760889"/>
    <w:rsid w:val="0076359A"/>
    <w:rsid w:val="00763686"/>
    <w:rsid w:val="007705B9"/>
    <w:rsid w:val="00772010"/>
    <w:rsid w:val="007720A3"/>
    <w:rsid w:val="007735CC"/>
    <w:rsid w:val="00775463"/>
    <w:rsid w:val="0077595E"/>
    <w:rsid w:val="0077692C"/>
    <w:rsid w:val="007771E1"/>
    <w:rsid w:val="00777A4C"/>
    <w:rsid w:val="00780D2F"/>
    <w:rsid w:val="0078283A"/>
    <w:rsid w:val="00785B7D"/>
    <w:rsid w:val="007902E0"/>
    <w:rsid w:val="00792CD9"/>
    <w:rsid w:val="0079340F"/>
    <w:rsid w:val="0079355E"/>
    <w:rsid w:val="00793759"/>
    <w:rsid w:val="00793D70"/>
    <w:rsid w:val="00794C41"/>
    <w:rsid w:val="007960DF"/>
    <w:rsid w:val="007A00C6"/>
    <w:rsid w:val="007A1C3C"/>
    <w:rsid w:val="007A29BF"/>
    <w:rsid w:val="007A69E5"/>
    <w:rsid w:val="007A7972"/>
    <w:rsid w:val="007B297C"/>
    <w:rsid w:val="007B6B2C"/>
    <w:rsid w:val="007B7221"/>
    <w:rsid w:val="007C0CB1"/>
    <w:rsid w:val="007C1C41"/>
    <w:rsid w:val="007C771E"/>
    <w:rsid w:val="007D0937"/>
    <w:rsid w:val="007D1E22"/>
    <w:rsid w:val="007D5B3E"/>
    <w:rsid w:val="007D72B5"/>
    <w:rsid w:val="007D7E0B"/>
    <w:rsid w:val="007E085D"/>
    <w:rsid w:val="007E21E4"/>
    <w:rsid w:val="007E3294"/>
    <w:rsid w:val="007E51D2"/>
    <w:rsid w:val="007F1F7E"/>
    <w:rsid w:val="007F235A"/>
    <w:rsid w:val="007F258A"/>
    <w:rsid w:val="007F2BEA"/>
    <w:rsid w:val="007F30A5"/>
    <w:rsid w:val="007F3344"/>
    <w:rsid w:val="007F46F1"/>
    <w:rsid w:val="007F5C08"/>
    <w:rsid w:val="007F6814"/>
    <w:rsid w:val="007F7311"/>
    <w:rsid w:val="008049D0"/>
    <w:rsid w:val="008070C0"/>
    <w:rsid w:val="00807538"/>
    <w:rsid w:val="008109F0"/>
    <w:rsid w:val="00814876"/>
    <w:rsid w:val="00814AC2"/>
    <w:rsid w:val="008160E0"/>
    <w:rsid w:val="00817868"/>
    <w:rsid w:val="00821FD0"/>
    <w:rsid w:val="0082386D"/>
    <w:rsid w:val="00826EA2"/>
    <w:rsid w:val="0082734E"/>
    <w:rsid w:val="008274C4"/>
    <w:rsid w:val="00832C8F"/>
    <w:rsid w:val="00833269"/>
    <w:rsid w:val="00833F59"/>
    <w:rsid w:val="00834F78"/>
    <w:rsid w:val="008422D2"/>
    <w:rsid w:val="00842CA7"/>
    <w:rsid w:val="00844898"/>
    <w:rsid w:val="00845020"/>
    <w:rsid w:val="00846AAA"/>
    <w:rsid w:val="00847F85"/>
    <w:rsid w:val="0085518D"/>
    <w:rsid w:val="0085526B"/>
    <w:rsid w:val="00855405"/>
    <w:rsid w:val="008557F0"/>
    <w:rsid w:val="00857885"/>
    <w:rsid w:val="008605DC"/>
    <w:rsid w:val="008617E0"/>
    <w:rsid w:val="0086228F"/>
    <w:rsid w:val="00867BDA"/>
    <w:rsid w:val="0087090D"/>
    <w:rsid w:val="00875D5D"/>
    <w:rsid w:val="00875F3D"/>
    <w:rsid w:val="008765A4"/>
    <w:rsid w:val="00883DF2"/>
    <w:rsid w:val="008843E9"/>
    <w:rsid w:val="0088661C"/>
    <w:rsid w:val="00887F47"/>
    <w:rsid w:val="00891745"/>
    <w:rsid w:val="00891A3F"/>
    <w:rsid w:val="00892D78"/>
    <w:rsid w:val="00893528"/>
    <w:rsid w:val="008945A8"/>
    <w:rsid w:val="008961A7"/>
    <w:rsid w:val="00896BE1"/>
    <w:rsid w:val="00897214"/>
    <w:rsid w:val="008A190D"/>
    <w:rsid w:val="008A1D34"/>
    <w:rsid w:val="008A6D76"/>
    <w:rsid w:val="008B0F83"/>
    <w:rsid w:val="008B1F25"/>
    <w:rsid w:val="008B4F84"/>
    <w:rsid w:val="008C1039"/>
    <w:rsid w:val="008C1940"/>
    <w:rsid w:val="008C2A2B"/>
    <w:rsid w:val="008C2B07"/>
    <w:rsid w:val="008C3C4A"/>
    <w:rsid w:val="008C5D50"/>
    <w:rsid w:val="008C76F3"/>
    <w:rsid w:val="008D094D"/>
    <w:rsid w:val="008D1962"/>
    <w:rsid w:val="008D1E9E"/>
    <w:rsid w:val="008D497C"/>
    <w:rsid w:val="008E4A97"/>
    <w:rsid w:val="008F01FD"/>
    <w:rsid w:val="008F3BD2"/>
    <w:rsid w:val="008F5102"/>
    <w:rsid w:val="00902133"/>
    <w:rsid w:val="00904E98"/>
    <w:rsid w:val="0090501A"/>
    <w:rsid w:val="009063DE"/>
    <w:rsid w:val="0090720D"/>
    <w:rsid w:val="00910D81"/>
    <w:rsid w:val="009137C5"/>
    <w:rsid w:val="00913DDB"/>
    <w:rsid w:val="00915422"/>
    <w:rsid w:val="00917900"/>
    <w:rsid w:val="0091796D"/>
    <w:rsid w:val="00917EC5"/>
    <w:rsid w:val="00920416"/>
    <w:rsid w:val="00920FAE"/>
    <w:rsid w:val="0092145E"/>
    <w:rsid w:val="0092320D"/>
    <w:rsid w:val="00924E92"/>
    <w:rsid w:val="009250F4"/>
    <w:rsid w:val="0092588B"/>
    <w:rsid w:val="00930AAE"/>
    <w:rsid w:val="00930EE6"/>
    <w:rsid w:val="0093143D"/>
    <w:rsid w:val="00932579"/>
    <w:rsid w:val="00933E21"/>
    <w:rsid w:val="00936C0C"/>
    <w:rsid w:val="00937D21"/>
    <w:rsid w:val="0094070D"/>
    <w:rsid w:val="009421FD"/>
    <w:rsid w:val="00942480"/>
    <w:rsid w:val="00944728"/>
    <w:rsid w:val="00944C35"/>
    <w:rsid w:val="00945E59"/>
    <w:rsid w:val="00946560"/>
    <w:rsid w:val="00950A05"/>
    <w:rsid w:val="00952765"/>
    <w:rsid w:val="0095717B"/>
    <w:rsid w:val="00961900"/>
    <w:rsid w:val="009619AD"/>
    <w:rsid w:val="009624AC"/>
    <w:rsid w:val="0096250D"/>
    <w:rsid w:val="009625F9"/>
    <w:rsid w:val="0097298A"/>
    <w:rsid w:val="00973F35"/>
    <w:rsid w:val="009777DC"/>
    <w:rsid w:val="009811BE"/>
    <w:rsid w:val="00982B81"/>
    <w:rsid w:val="0098377F"/>
    <w:rsid w:val="009839B2"/>
    <w:rsid w:val="00983F51"/>
    <w:rsid w:val="00984E5B"/>
    <w:rsid w:val="0098726E"/>
    <w:rsid w:val="00987FBA"/>
    <w:rsid w:val="00990C0B"/>
    <w:rsid w:val="00990C5A"/>
    <w:rsid w:val="00990E06"/>
    <w:rsid w:val="00996B6E"/>
    <w:rsid w:val="009A02EB"/>
    <w:rsid w:val="009A5799"/>
    <w:rsid w:val="009A5E6E"/>
    <w:rsid w:val="009A7B48"/>
    <w:rsid w:val="009B0A6A"/>
    <w:rsid w:val="009B38D2"/>
    <w:rsid w:val="009B540E"/>
    <w:rsid w:val="009B7F0D"/>
    <w:rsid w:val="009C21DA"/>
    <w:rsid w:val="009C25D9"/>
    <w:rsid w:val="009C7586"/>
    <w:rsid w:val="009D0740"/>
    <w:rsid w:val="009D09C0"/>
    <w:rsid w:val="009D1136"/>
    <w:rsid w:val="009D28E8"/>
    <w:rsid w:val="009D2C34"/>
    <w:rsid w:val="009D5553"/>
    <w:rsid w:val="009E30BB"/>
    <w:rsid w:val="009E3493"/>
    <w:rsid w:val="009E3E6E"/>
    <w:rsid w:val="009E4C63"/>
    <w:rsid w:val="009E4F8C"/>
    <w:rsid w:val="009E64F6"/>
    <w:rsid w:val="009E7830"/>
    <w:rsid w:val="009E78F8"/>
    <w:rsid w:val="009E7B8C"/>
    <w:rsid w:val="009E7F62"/>
    <w:rsid w:val="009F3074"/>
    <w:rsid w:val="009F37BE"/>
    <w:rsid w:val="009F3C05"/>
    <w:rsid w:val="009F3ECA"/>
    <w:rsid w:val="009F5930"/>
    <w:rsid w:val="009F5CE6"/>
    <w:rsid w:val="009F6E8C"/>
    <w:rsid w:val="009F76A9"/>
    <w:rsid w:val="00A0095E"/>
    <w:rsid w:val="00A00C83"/>
    <w:rsid w:val="00A01541"/>
    <w:rsid w:val="00A02E0D"/>
    <w:rsid w:val="00A037D6"/>
    <w:rsid w:val="00A0470F"/>
    <w:rsid w:val="00A146EA"/>
    <w:rsid w:val="00A14DDE"/>
    <w:rsid w:val="00A15372"/>
    <w:rsid w:val="00A15554"/>
    <w:rsid w:val="00A15776"/>
    <w:rsid w:val="00A15CB0"/>
    <w:rsid w:val="00A16F7A"/>
    <w:rsid w:val="00A21CB4"/>
    <w:rsid w:val="00A24E2D"/>
    <w:rsid w:val="00A253A9"/>
    <w:rsid w:val="00A259D4"/>
    <w:rsid w:val="00A25B7C"/>
    <w:rsid w:val="00A26A47"/>
    <w:rsid w:val="00A340F5"/>
    <w:rsid w:val="00A36EC5"/>
    <w:rsid w:val="00A4150C"/>
    <w:rsid w:val="00A4151E"/>
    <w:rsid w:val="00A4239B"/>
    <w:rsid w:val="00A43C2E"/>
    <w:rsid w:val="00A44409"/>
    <w:rsid w:val="00A445A1"/>
    <w:rsid w:val="00A44EFF"/>
    <w:rsid w:val="00A45903"/>
    <w:rsid w:val="00A52E87"/>
    <w:rsid w:val="00A535C6"/>
    <w:rsid w:val="00A53C52"/>
    <w:rsid w:val="00A53D5B"/>
    <w:rsid w:val="00A55991"/>
    <w:rsid w:val="00A55A33"/>
    <w:rsid w:val="00A57CE6"/>
    <w:rsid w:val="00A57FFE"/>
    <w:rsid w:val="00A61B75"/>
    <w:rsid w:val="00A62264"/>
    <w:rsid w:val="00A63060"/>
    <w:rsid w:val="00A640C6"/>
    <w:rsid w:val="00A64693"/>
    <w:rsid w:val="00A648AE"/>
    <w:rsid w:val="00A65596"/>
    <w:rsid w:val="00A67147"/>
    <w:rsid w:val="00A67D97"/>
    <w:rsid w:val="00A70644"/>
    <w:rsid w:val="00A715A2"/>
    <w:rsid w:val="00A74CB8"/>
    <w:rsid w:val="00A76673"/>
    <w:rsid w:val="00A76BA9"/>
    <w:rsid w:val="00A81BE1"/>
    <w:rsid w:val="00A828F1"/>
    <w:rsid w:val="00A9123E"/>
    <w:rsid w:val="00A926BA"/>
    <w:rsid w:val="00A934DD"/>
    <w:rsid w:val="00A9381A"/>
    <w:rsid w:val="00A95342"/>
    <w:rsid w:val="00A9766A"/>
    <w:rsid w:val="00AA75E4"/>
    <w:rsid w:val="00AA7F87"/>
    <w:rsid w:val="00AB034D"/>
    <w:rsid w:val="00AB073D"/>
    <w:rsid w:val="00AB5426"/>
    <w:rsid w:val="00AB5B48"/>
    <w:rsid w:val="00AB615D"/>
    <w:rsid w:val="00AB6321"/>
    <w:rsid w:val="00AC09D9"/>
    <w:rsid w:val="00AC1892"/>
    <w:rsid w:val="00AC3CD8"/>
    <w:rsid w:val="00AC6883"/>
    <w:rsid w:val="00AC7962"/>
    <w:rsid w:val="00AD0AE3"/>
    <w:rsid w:val="00AD229C"/>
    <w:rsid w:val="00AD3EA0"/>
    <w:rsid w:val="00AD57D3"/>
    <w:rsid w:val="00AD6094"/>
    <w:rsid w:val="00AD64BD"/>
    <w:rsid w:val="00AE0243"/>
    <w:rsid w:val="00AE05CE"/>
    <w:rsid w:val="00AE1FF6"/>
    <w:rsid w:val="00AE561E"/>
    <w:rsid w:val="00AE7F65"/>
    <w:rsid w:val="00AF1A2E"/>
    <w:rsid w:val="00AF348A"/>
    <w:rsid w:val="00AF34A8"/>
    <w:rsid w:val="00AF3E23"/>
    <w:rsid w:val="00AF3E6D"/>
    <w:rsid w:val="00B02E4D"/>
    <w:rsid w:val="00B0401D"/>
    <w:rsid w:val="00B049FB"/>
    <w:rsid w:val="00B0575B"/>
    <w:rsid w:val="00B06DF8"/>
    <w:rsid w:val="00B06E67"/>
    <w:rsid w:val="00B071A0"/>
    <w:rsid w:val="00B07B3C"/>
    <w:rsid w:val="00B1478A"/>
    <w:rsid w:val="00B2185C"/>
    <w:rsid w:val="00B22AFA"/>
    <w:rsid w:val="00B231A1"/>
    <w:rsid w:val="00B2482F"/>
    <w:rsid w:val="00B24F55"/>
    <w:rsid w:val="00B255B6"/>
    <w:rsid w:val="00B27792"/>
    <w:rsid w:val="00B3293A"/>
    <w:rsid w:val="00B33976"/>
    <w:rsid w:val="00B34A0F"/>
    <w:rsid w:val="00B357C0"/>
    <w:rsid w:val="00B35D20"/>
    <w:rsid w:val="00B377FE"/>
    <w:rsid w:val="00B4190F"/>
    <w:rsid w:val="00B422CF"/>
    <w:rsid w:val="00B43739"/>
    <w:rsid w:val="00B43AD8"/>
    <w:rsid w:val="00B43D67"/>
    <w:rsid w:val="00B43D86"/>
    <w:rsid w:val="00B46497"/>
    <w:rsid w:val="00B54722"/>
    <w:rsid w:val="00B56CE0"/>
    <w:rsid w:val="00B57111"/>
    <w:rsid w:val="00B57CE3"/>
    <w:rsid w:val="00B60B51"/>
    <w:rsid w:val="00B62742"/>
    <w:rsid w:val="00B64E0E"/>
    <w:rsid w:val="00B65F07"/>
    <w:rsid w:val="00B66F4D"/>
    <w:rsid w:val="00B70563"/>
    <w:rsid w:val="00B71797"/>
    <w:rsid w:val="00B71F87"/>
    <w:rsid w:val="00B72F40"/>
    <w:rsid w:val="00B73B5C"/>
    <w:rsid w:val="00B75B9C"/>
    <w:rsid w:val="00B82398"/>
    <w:rsid w:val="00B827E9"/>
    <w:rsid w:val="00B828EF"/>
    <w:rsid w:val="00B851EE"/>
    <w:rsid w:val="00B87A08"/>
    <w:rsid w:val="00B90FFA"/>
    <w:rsid w:val="00B91315"/>
    <w:rsid w:val="00B91778"/>
    <w:rsid w:val="00B92249"/>
    <w:rsid w:val="00B925C0"/>
    <w:rsid w:val="00B95054"/>
    <w:rsid w:val="00B95900"/>
    <w:rsid w:val="00B9688D"/>
    <w:rsid w:val="00BA52BD"/>
    <w:rsid w:val="00BA7452"/>
    <w:rsid w:val="00BB1855"/>
    <w:rsid w:val="00BB25AD"/>
    <w:rsid w:val="00BB386D"/>
    <w:rsid w:val="00BB524F"/>
    <w:rsid w:val="00BC10BA"/>
    <w:rsid w:val="00BC158F"/>
    <w:rsid w:val="00BC266A"/>
    <w:rsid w:val="00BC287C"/>
    <w:rsid w:val="00BC44BC"/>
    <w:rsid w:val="00BC517B"/>
    <w:rsid w:val="00BC68BA"/>
    <w:rsid w:val="00BD2672"/>
    <w:rsid w:val="00BD404B"/>
    <w:rsid w:val="00BD544E"/>
    <w:rsid w:val="00BD581C"/>
    <w:rsid w:val="00BD674C"/>
    <w:rsid w:val="00BD79BC"/>
    <w:rsid w:val="00BD7C51"/>
    <w:rsid w:val="00BE1571"/>
    <w:rsid w:val="00BE17C4"/>
    <w:rsid w:val="00BE1959"/>
    <w:rsid w:val="00BE3348"/>
    <w:rsid w:val="00BE5286"/>
    <w:rsid w:val="00BE5653"/>
    <w:rsid w:val="00BE617C"/>
    <w:rsid w:val="00BE644B"/>
    <w:rsid w:val="00BE7F9F"/>
    <w:rsid w:val="00BF00BA"/>
    <w:rsid w:val="00BF3BD1"/>
    <w:rsid w:val="00BF6DE0"/>
    <w:rsid w:val="00C02490"/>
    <w:rsid w:val="00C03C74"/>
    <w:rsid w:val="00C047DE"/>
    <w:rsid w:val="00C07A62"/>
    <w:rsid w:val="00C11B9C"/>
    <w:rsid w:val="00C11F62"/>
    <w:rsid w:val="00C149E4"/>
    <w:rsid w:val="00C23596"/>
    <w:rsid w:val="00C24FE4"/>
    <w:rsid w:val="00C31058"/>
    <w:rsid w:val="00C31491"/>
    <w:rsid w:val="00C31FCF"/>
    <w:rsid w:val="00C32798"/>
    <w:rsid w:val="00C35052"/>
    <w:rsid w:val="00C36DCB"/>
    <w:rsid w:val="00C41217"/>
    <w:rsid w:val="00C42A0A"/>
    <w:rsid w:val="00C45BA8"/>
    <w:rsid w:val="00C461A6"/>
    <w:rsid w:val="00C47459"/>
    <w:rsid w:val="00C5010E"/>
    <w:rsid w:val="00C50B31"/>
    <w:rsid w:val="00C50D7F"/>
    <w:rsid w:val="00C52855"/>
    <w:rsid w:val="00C53CA3"/>
    <w:rsid w:val="00C567B4"/>
    <w:rsid w:val="00C56AB2"/>
    <w:rsid w:val="00C5701F"/>
    <w:rsid w:val="00C572DC"/>
    <w:rsid w:val="00C604C7"/>
    <w:rsid w:val="00C61988"/>
    <w:rsid w:val="00C63EA0"/>
    <w:rsid w:val="00C6439E"/>
    <w:rsid w:val="00C72324"/>
    <w:rsid w:val="00C7401F"/>
    <w:rsid w:val="00C74CD1"/>
    <w:rsid w:val="00C75077"/>
    <w:rsid w:val="00C7568F"/>
    <w:rsid w:val="00C82F11"/>
    <w:rsid w:val="00C837B0"/>
    <w:rsid w:val="00C851D0"/>
    <w:rsid w:val="00C85464"/>
    <w:rsid w:val="00C86C43"/>
    <w:rsid w:val="00C87147"/>
    <w:rsid w:val="00C902F5"/>
    <w:rsid w:val="00C97DFF"/>
    <w:rsid w:val="00CA08A9"/>
    <w:rsid w:val="00CA2108"/>
    <w:rsid w:val="00CA24A9"/>
    <w:rsid w:val="00CA273B"/>
    <w:rsid w:val="00CA31E4"/>
    <w:rsid w:val="00CA49AC"/>
    <w:rsid w:val="00CA5620"/>
    <w:rsid w:val="00CA7096"/>
    <w:rsid w:val="00CB1587"/>
    <w:rsid w:val="00CC37A6"/>
    <w:rsid w:val="00CC3B9E"/>
    <w:rsid w:val="00CC465A"/>
    <w:rsid w:val="00CC7ADE"/>
    <w:rsid w:val="00CD0E8E"/>
    <w:rsid w:val="00CD1612"/>
    <w:rsid w:val="00CD16EF"/>
    <w:rsid w:val="00CD2A91"/>
    <w:rsid w:val="00CD40A7"/>
    <w:rsid w:val="00CD42A6"/>
    <w:rsid w:val="00CD462C"/>
    <w:rsid w:val="00CE0965"/>
    <w:rsid w:val="00CE0C1F"/>
    <w:rsid w:val="00CE2CA6"/>
    <w:rsid w:val="00CE2D96"/>
    <w:rsid w:val="00CE3696"/>
    <w:rsid w:val="00CE3B08"/>
    <w:rsid w:val="00CE405E"/>
    <w:rsid w:val="00CE4A28"/>
    <w:rsid w:val="00CE6753"/>
    <w:rsid w:val="00CE6A7D"/>
    <w:rsid w:val="00CE77BA"/>
    <w:rsid w:val="00CF1E78"/>
    <w:rsid w:val="00CF54F9"/>
    <w:rsid w:val="00CF6E46"/>
    <w:rsid w:val="00D032F7"/>
    <w:rsid w:val="00D0339D"/>
    <w:rsid w:val="00D035DF"/>
    <w:rsid w:val="00D04187"/>
    <w:rsid w:val="00D0575B"/>
    <w:rsid w:val="00D0790A"/>
    <w:rsid w:val="00D11254"/>
    <w:rsid w:val="00D1229F"/>
    <w:rsid w:val="00D13DA9"/>
    <w:rsid w:val="00D14D1D"/>
    <w:rsid w:val="00D15F13"/>
    <w:rsid w:val="00D179EC"/>
    <w:rsid w:val="00D20212"/>
    <w:rsid w:val="00D231CA"/>
    <w:rsid w:val="00D23858"/>
    <w:rsid w:val="00D26CF9"/>
    <w:rsid w:val="00D2728D"/>
    <w:rsid w:val="00D303DE"/>
    <w:rsid w:val="00D33508"/>
    <w:rsid w:val="00D36D13"/>
    <w:rsid w:val="00D37E97"/>
    <w:rsid w:val="00D37FCD"/>
    <w:rsid w:val="00D41D35"/>
    <w:rsid w:val="00D42D5C"/>
    <w:rsid w:val="00D44827"/>
    <w:rsid w:val="00D44F91"/>
    <w:rsid w:val="00D45603"/>
    <w:rsid w:val="00D478F3"/>
    <w:rsid w:val="00D514D5"/>
    <w:rsid w:val="00D51F4A"/>
    <w:rsid w:val="00D55CDF"/>
    <w:rsid w:val="00D56491"/>
    <w:rsid w:val="00D56E49"/>
    <w:rsid w:val="00D609A9"/>
    <w:rsid w:val="00D622EE"/>
    <w:rsid w:val="00D62729"/>
    <w:rsid w:val="00D628B2"/>
    <w:rsid w:val="00D62C56"/>
    <w:rsid w:val="00D65134"/>
    <w:rsid w:val="00D662DA"/>
    <w:rsid w:val="00D67731"/>
    <w:rsid w:val="00D678D5"/>
    <w:rsid w:val="00D70FDE"/>
    <w:rsid w:val="00D71B08"/>
    <w:rsid w:val="00D71ECD"/>
    <w:rsid w:val="00D720EA"/>
    <w:rsid w:val="00D75687"/>
    <w:rsid w:val="00D757E5"/>
    <w:rsid w:val="00D76F35"/>
    <w:rsid w:val="00D77248"/>
    <w:rsid w:val="00D8050B"/>
    <w:rsid w:val="00D80DFC"/>
    <w:rsid w:val="00D82261"/>
    <w:rsid w:val="00D82CAF"/>
    <w:rsid w:val="00D83C94"/>
    <w:rsid w:val="00D84288"/>
    <w:rsid w:val="00D84D86"/>
    <w:rsid w:val="00D85FCF"/>
    <w:rsid w:val="00D87673"/>
    <w:rsid w:val="00D90C7F"/>
    <w:rsid w:val="00D939EC"/>
    <w:rsid w:val="00D947F2"/>
    <w:rsid w:val="00D97299"/>
    <w:rsid w:val="00D977B7"/>
    <w:rsid w:val="00D97D8C"/>
    <w:rsid w:val="00DA037F"/>
    <w:rsid w:val="00DA2A08"/>
    <w:rsid w:val="00DA4835"/>
    <w:rsid w:val="00DA55F1"/>
    <w:rsid w:val="00DA5A7B"/>
    <w:rsid w:val="00DA748D"/>
    <w:rsid w:val="00DB0F37"/>
    <w:rsid w:val="00DB12FB"/>
    <w:rsid w:val="00DB3EA2"/>
    <w:rsid w:val="00DB4598"/>
    <w:rsid w:val="00DB5269"/>
    <w:rsid w:val="00DB54F8"/>
    <w:rsid w:val="00DB7347"/>
    <w:rsid w:val="00DC0DD2"/>
    <w:rsid w:val="00DC211F"/>
    <w:rsid w:val="00DC353A"/>
    <w:rsid w:val="00DC36E2"/>
    <w:rsid w:val="00DC44FA"/>
    <w:rsid w:val="00DC47C9"/>
    <w:rsid w:val="00DC4EDF"/>
    <w:rsid w:val="00DD0957"/>
    <w:rsid w:val="00DD0B74"/>
    <w:rsid w:val="00DD1D44"/>
    <w:rsid w:val="00DD2559"/>
    <w:rsid w:val="00DD30D7"/>
    <w:rsid w:val="00DD4DE9"/>
    <w:rsid w:val="00DD507B"/>
    <w:rsid w:val="00DD641B"/>
    <w:rsid w:val="00DD6458"/>
    <w:rsid w:val="00DE01D3"/>
    <w:rsid w:val="00DE0302"/>
    <w:rsid w:val="00DE155E"/>
    <w:rsid w:val="00DE21B2"/>
    <w:rsid w:val="00DE303B"/>
    <w:rsid w:val="00DE4BBA"/>
    <w:rsid w:val="00DF10A8"/>
    <w:rsid w:val="00DF2AC7"/>
    <w:rsid w:val="00DF5325"/>
    <w:rsid w:val="00DF6171"/>
    <w:rsid w:val="00DF6437"/>
    <w:rsid w:val="00DF7B20"/>
    <w:rsid w:val="00E00A75"/>
    <w:rsid w:val="00E024DD"/>
    <w:rsid w:val="00E042F9"/>
    <w:rsid w:val="00E05606"/>
    <w:rsid w:val="00E05EAF"/>
    <w:rsid w:val="00E12240"/>
    <w:rsid w:val="00E14F3A"/>
    <w:rsid w:val="00E15AFC"/>
    <w:rsid w:val="00E20396"/>
    <w:rsid w:val="00E23271"/>
    <w:rsid w:val="00E2447C"/>
    <w:rsid w:val="00E24707"/>
    <w:rsid w:val="00E24E3F"/>
    <w:rsid w:val="00E270CD"/>
    <w:rsid w:val="00E272CF"/>
    <w:rsid w:val="00E30B75"/>
    <w:rsid w:val="00E31930"/>
    <w:rsid w:val="00E32494"/>
    <w:rsid w:val="00E34BD0"/>
    <w:rsid w:val="00E4178F"/>
    <w:rsid w:val="00E41E7E"/>
    <w:rsid w:val="00E42537"/>
    <w:rsid w:val="00E44DBF"/>
    <w:rsid w:val="00E45F40"/>
    <w:rsid w:val="00E474F5"/>
    <w:rsid w:val="00E538CE"/>
    <w:rsid w:val="00E55F7A"/>
    <w:rsid w:val="00E55FD2"/>
    <w:rsid w:val="00E56280"/>
    <w:rsid w:val="00E57F1F"/>
    <w:rsid w:val="00E6048D"/>
    <w:rsid w:val="00E650BA"/>
    <w:rsid w:val="00E73AD9"/>
    <w:rsid w:val="00E74B76"/>
    <w:rsid w:val="00E75D57"/>
    <w:rsid w:val="00E80558"/>
    <w:rsid w:val="00E82F0C"/>
    <w:rsid w:val="00E830DC"/>
    <w:rsid w:val="00E83345"/>
    <w:rsid w:val="00E9060D"/>
    <w:rsid w:val="00E94474"/>
    <w:rsid w:val="00E964DD"/>
    <w:rsid w:val="00E976A1"/>
    <w:rsid w:val="00E97CC0"/>
    <w:rsid w:val="00EA1229"/>
    <w:rsid w:val="00EA1BFB"/>
    <w:rsid w:val="00EB04AE"/>
    <w:rsid w:val="00EB1C52"/>
    <w:rsid w:val="00EB2F69"/>
    <w:rsid w:val="00EB3E45"/>
    <w:rsid w:val="00EB75A9"/>
    <w:rsid w:val="00EC0A47"/>
    <w:rsid w:val="00EC1A41"/>
    <w:rsid w:val="00EC2558"/>
    <w:rsid w:val="00EC7FB9"/>
    <w:rsid w:val="00ED3C30"/>
    <w:rsid w:val="00ED75D1"/>
    <w:rsid w:val="00EE033F"/>
    <w:rsid w:val="00EE0746"/>
    <w:rsid w:val="00EE1177"/>
    <w:rsid w:val="00EE1670"/>
    <w:rsid w:val="00EE37C9"/>
    <w:rsid w:val="00EE58DE"/>
    <w:rsid w:val="00EE5D14"/>
    <w:rsid w:val="00EF4DDD"/>
    <w:rsid w:val="00F008BF"/>
    <w:rsid w:val="00F05E2B"/>
    <w:rsid w:val="00F06988"/>
    <w:rsid w:val="00F0784E"/>
    <w:rsid w:val="00F11A7D"/>
    <w:rsid w:val="00F12C7A"/>
    <w:rsid w:val="00F14CCE"/>
    <w:rsid w:val="00F14F10"/>
    <w:rsid w:val="00F15690"/>
    <w:rsid w:val="00F1620C"/>
    <w:rsid w:val="00F16E2C"/>
    <w:rsid w:val="00F230D6"/>
    <w:rsid w:val="00F253BD"/>
    <w:rsid w:val="00F26147"/>
    <w:rsid w:val="00F26340"/>
    <w:rsid w:val="00F310C5"/>
    <w:rsid w:val="00F31BAE"/>
    <w:rsid w:val="00F32EDC"/>
    <w:rsid w:val="00F334F1"/>
    <w:rsid w:val="00F33837"/>
    <w:rsid w:val="00F3481A"/>
    <w:rsid w:val="00F3738C"/>
    <w:rsid w:val="00F3796D"/>
    <w:rsid w:val="00F40E19"/>
    <w:rsid w:val="00F4194B"/>
    <w:rsid w:val="00F45E76"/>
    <w:rsid w:val="00F50A95"/>
    <w:rsid w:val="00F50CEE"/>
    <w:rsid w:val="00F51C9D"/>
    <w:rsid w:val="00F527CC"/>
    <w:rsid w:val="00F53B46"/>
    <w:rsid w:val="00F558DA"/>
    <w:rsid w:val="00F56937"/>
    <w:rsid w:val="00F605F9"/>
    <w:rsid w:val="00F60FD9"/>
    <w:rsid w:val="00F61571"/>
    <w:rsid w:val="00F6209E"/>
    <w:rsid w:val="00F667A2"/>
    <w:rsid w:val="00F67987"/>
    <w:rsid w:val="00F72ADF"/>
    <w:rsid w:val="00F74255"/>
    <w:rsid w:val="00F75C88"/>
    <w:rsid w:val="00F80563"/>
    <w:rsid w:val="00F833FD"/>
    <w:rsid w:val="00F841B4"/>
    <w:rsid w:val="00F86768"/>
    <w:rsid w:val="00F877E3"/>
    <w:rsid w:val="00F92C99"/>
    <w:rsid w:val="00F9444B"/>
    <w:rsid w:val="00F94E1E"/>
    <w:rsid w:val="00F96A03"/>
    <w:rsid w:val="00F9729E"/>
    <w:rsid w:val="00F97739"/>
    <w:rsid w:val="00FA1330"/>
    <w:rsid w:val="00FA3B5E"/>
    <w:rsid w:val="00FA49F1"/>
    <w:rsid w:val="00FA6BE4"/>
    <w:rsid w:val="00FB0391"/>
    <w:rsid w:val="00FB06C4"/>
    <w:rsid w:val="00FB06F7"/>
    <w:rsid w:val="00FB0F48"/>
    <w:rsid w:val="00FB2652"/>
    <w:rsid w:val="00FB3F4D"/>
    <w:rsid w:val="00FB3F85"/>
    <w:rsid w:val="00FB667E"/>
    <w:rsid w:val="00FB71D2"/>
    <w:rsid w:val="00FC02E7"/>
    <w:rsid w:val="00FC1134"/>
    <w:rsid w:val="00FC4C61"/>
    <w:rsid w:val="00FC7A73"/>
    <w:rsid w:val="00FC7F12"/>
    <w:rsid w:val="00FD0F67"/>
    <w:rsid w:val="00FD2A89"/>
    <w:rsid w:val="00FD2E47"/>
    <w:rsid w:val="00FD3A4E"/>
    <w:rsid w:val="00FD5405"/>
    <w:rsid w:val="00FD6820"/>
    <w:rsid w:val="00FE1A72"/>
    <w:rsid w:val="00FE1D0D"/>
    <w:rsid w:val="00FE2EA4"/>
    <w:rsid w:val="00FE52FA"/>
    <w:rsid w:val="00FF103B"/>
    <w:rsid w:val="00FF293A"/>
    <w:rsid w:val="00FF3B41"/>
    <w:rsid w:val="00FF60A8"/>
    <w:rsid w:val="00FF74A1"/>
    <w:rsid w:val="00FF7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25"/>
    <w:pPr>
      <w:jc w:val="both"/>
    </w:pPr>
    <w:rPr>
      <w:rFonts w:ascii="Times New Roman" w:hAnsi="Times New Roman"/>
      <w:sz w:val="24"/>
    </w:rPr>
  </w:style>
  <w:style w:type="paragraph" w:styleId="Ttulo1">
    <w:name w:val="heading 1"/>
    <w:basedOn w:val="Normal"/>
    <w:next w:val="Normal"/>
    <w:link w:val="Ttulo1Char"/>
    <w:uiPriority w:val="9"/>
    <w:qFormat/>
    <w:rsid w:val="00F16E2C"/>
    <w:pPr>
      <w:keepNext/>
      <w:keepLines/>
      <w:spacing w:before="480" w:after="0" w:line="360" w:lineRule="auto"/>
      <w:outlineLvl w:val="0"/>
    </w:pPr>
    <w:rPr>
      <w:rFonts w:eastAsiaTheme="majorEastAsia" w:cstheme="majorBidi"/>
      <w:b/>
      <w:bCs/>
      <w:szCs w:val="28"/>
    </w:rPr>
  </w:style>
  <w:style w:type="paragraph" w:styleId="Ttulo2">
    <w:name w:val="heading 2"/>
    <w:aliases w:val="Equação 2"/>
    <w:basedOn w:val="Normal"/>
    <w:next w:val="Normal"/>
    <w:link w:val="Ttulo2Char"/>
    <w:autoRedefine/>
    <w:uiPriority w:val="9"/>
    <w:unhideWhenUsed/>
    <w:qFormat/>
    <w:rsid w:val="00F16E2C"/>
    <w:pPr>
      <w:keepNext/>
      <w:keepLines/>
      <w:spacing w:before="200" w:after="0" w:line="360" w:lineRule="auto"/>
      <w:outlineLvl w:val="1"/>
    </w:pPr>
    <w:rPr>
      <w:rFonts w:eastAsiaTheme="minorEastAsia" w:cstheme="majorBidi"/>
      <w:b/>
      <w:bCs/>
      <w:color w:val="000000" w:themeColor="text1"/>
      <w:szCs w:val="26"/>
    </w:rPr>
  </w:style>
  <w:style w:type="paragraph" w:styleId="Ttulo3">
    <w:name w:val="heading 3"/>
    <w:basedOn w:val="Normal"/>
    <w:next w:val="Normal"/>
    <w:link w:val="Ttulo3Char"/>
    <w:uiPriority w:val="9"/>
    <w:unhideWhenUsed/>
    <w:qFormat/>
    <w:rsid w:val="00AE7F65"/>
    <w:pPr>
      <w:keepNext/>
      <w:keepLines/>
      <w:spacing w:before="200" w:after="0" w:line="360" w:lineRule="auto"/>
      <w:outlineLvl w:val="2"/>
    </w:pPr>
    <w:rPr>
      <w:rFonts w:eastAsiaTheme="majorEastAsia" w:cstheme="majorBidi"/>
      <w:b/>
      <w:bCs/>
      <w:color w:val="000000" w:themeColor="text1"/>
      <w:szCs w:val="24"/>
    </w:rPr>
  </w:style>
  <w:style w:type="paragraph" w:styleId="Ttulo4">
    <w:name w:val="heading 4"/>
    <w:basedOn w:val="Normal"/>
    <w:next w:val="Normal"/>
    <w:link w:val="Ttulo4Char"/>
    <w:uiPriority w:val="9"/>
    <w:semiHidden/>
    <w:unhideWhenUsed/>
    <w:qFormat/>
    <w:rsid w:val="00F16E2C"/>
    <w:pPr>
      <w:keepNext/>
      <w:keepLines/>
      <w:spacing w:before="200" w:beforeAutospacing="1" w:after="0" w:afterAutospacing="1" w:line="240" w:lineRule="auto"/>
      <w:jc w:val="left"/>
      <w:outlineLvl w:val="3"/>
    </w:pPr>
    <w:rPr>
      <w:rFonts w:asciiTheme="majorHAnsi" w:eastAsiaTheme="majorEastAsia" w:hAnsiTheme="majorHAnsi" w:cstheme="majorBidi"/>
      <w:b/>
      <w:bCs/>
      <w:i/>
      <w:iCs/>
      <w:color w:val="5B9BD5" w:themeColor="accent1"/>
      <w:szCs w:val="24"/>
    </w:rPr>
  </w:style>
  <w:style w:type="paragraph" w:styleId="Ttulo5">
    <w:name w:val="heading 5"/>
    <w:basedOn w:val="Normal"/>
    <w:next w:val="Normal"/>
    <w:link w:val="Ttulo5Char"/>
    <w:uiPriority w:val="9"/>
    <w:semiHidden/>
    <w:unhideWhenUsed/>
    <w:qFormat/>
    <w:rsid w:val="00F16E2C"/>
    <w:pPr>
      <w:keepNext/>
      <w:keepLines/>
      <w:spacing w:before="200" w:beforeAutospacing="1" w:after="0" w:afterAutospacing="1" w:line="240" w:lineRule="auto"/>
      <w:jc w:val="left"/>
      <w:outlineLvl w:val="4"/>
    </w:pPr>
    <w:rPr>
      <w:rFonts w:asciiTheme="majorHAnsi" w:eastAsiaTheme="majorEastAsia" w:hAnsiTheme="majorHAnsi" w:cstheme="majorBidi"/>
      <w:color w:val="1F4D78" w:themeColor="accent1" w:themeShade="7F"/>
      <w:szCs w:val="24"/>
    </w:rPr>
  </w:style>
  <w:style w:type="paragraph" w:styleId="Ttulo6">
    <w:name w:val="heading 6"/>
    <w:basedOn w:val="Normal"/>
    <w:next w:val="Normal"/>
    <w:link w:val="Ttulo6Char"/>
    <w:uiPriority w:val="9"/>
    <w:semiHidden/>
    <w:unhideWhenUsed/>
    <w:qFormat/>
    <w:rsid w:val="00F16E2C"/>
    <w:pPr>
      <w:keepNext/>
      <w:keepLines/>
      <w:spacing w:before="200" w:beforeAutospacing="1" w:after="0" w:afterAutospacing="1" w:line="240" w:lineRule="auto"/>
      <w:jc w:val="left"/>
      <w:outlineLvl w:val="5"/>
    </w:pPr>
    <w:rPr>
      <w:rFonts w:asciiTheme="majorHAnsi" w:eastAsiaTheme="majorEastAsia" w:hAnsiTheme="majorHAnsi" w:cstheme="majorBidi"/>
      <w:i/>
      <w:iCs/>
      <w:color w:val="1F4D78" w:themeColor="accent1" w:themeShade="7F"/>
      <w:szCs w:val="24"/>
    </w:rPr>
  </w:style>
  <w:style w:type="paragraph" w:styleId="Ttulo7">
    <w:name w:val="heading 7"/>
    <w:basedOn w:val="Normal"/>
    <w:next w:val="Normal"/>
    <w:link w:val="Ttulo7Char"/>
    <w:uiPriority w:val="9"/>
    <w:semiHidden/>
    <w:unhideWhenUsed/>
    <w:qFormat/>
    <w:rsid w:val="00F16E2C"/>
    <w:pPr>
      <w:keepNext/>
      <w:keepLines/>
      <w:spacing w:before="200" w:beforeAutospacing="1" w:after="0" w:afterAutospacing="1" w:line="240" w:lineRule="auto"/>
      <w:jc w:val="left"/>
      <w:outlineLvl w:val="6"/>
    </w:pPr>
    <w:rPr>
      <w:rFonts w:asciiTheme="majorHAnsi" w:eastAsiaTheme="majorEastAsia" w:hAnsiTheme="majorHAnsi" w:cstheme="majorBidi"/>
      <w:i/>
      <w:iCs/>
      <w:color w:val="404040" w:themeColor="text1" w:themeTint="BF"/>
      <w:szCs w:val="24"/>
    </w:rPr>
  </w:style>
  <w:style w:type="paragraph" w:styleId="Ttulo8">
    <w:name w:val="heading 8"/>
    <w:basedOn w:val="Normal"/>
    <w:next w:val="Normal"/>
    <w:link w:val="Ttulo8Char"/>
    <w:uiPriority w:val="9"/>
    <w:semiHidden/>
    <w:unhideWhenUsed/>
    <w:qFormat/>
    <w:rsid w:val="00F16E2C"/>
    <w:pPr>
      <w:keepNext/>
      <w:keepLines/>
      <w:spacing w:before="200" w:beforeAutospacing="1" w:after="0" w:afterAutospacing="1" w:line="240" w:lineRule="auto"/>
      <w:jc w:val="left"/>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16E2C"/>
    <w:pPr>
      <w:keepNext/>
      <w:keepLines/>
      <w:spacing w:before="200" w:beforeAutospacing="1" w:after="0" w:afterAutospacing="1" w:line="240"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6E2C"/>
    <w:rPr>
      <w:rFonts w:ascii="Times New Roman" w:eastAsiaTheme="majorEastAsia" w:hAnsi="Times New Roman" w:cstheme="majorBidi"/>
      <w:b/>
      <w:bCs/>
      <w:sz w:val="24"/>
      <w:szCs w:val="28"/>
    </w:rPr>
  </w:style>
  <w:style w:type="character" w:customStyle="1" w:styleId="Ttulo2Char">
    <w:name w:val="Título 2 Char"/>
    <w:aliases w:val="Equação 2 Char"/>
    <w:basedOn w:val="Fontepargpadro"/>
    <w:link w:val="Ttulo2"/>
    <w:uiPriority w:val="9"/>
    <w:rsid w:val="00F16E2C"/>
    <w:rPr>
      <w:rFonts w:ascii="Times New Roman" w:eastAsiaTheme="minorEastAsia" w:hAnsi="Times New Roman" w:cstheme="majorBidi"/>
      <w:b/>
      <w:bCs/>
      <w:color w:val="000000" w:themeColor="text1"/>
      <w:sz w:val="24"/>
      <w:szCs w:val="26"/>
    </w:rPr>
  </w:style>
  <w:style w:type="character" w:customStyle="1" w:styleId="Ttulo3Char">
    <w:name w:val="Título 3 Char"/>
    <w:basedOn w:val="Fontepargpadro"/>
    <w:link w:val="Ttulo3"/>
    <w:uiPriority w:val="9"/>
    <w:rsid w:val="00AE7F65"/>
    <w:rPr>
      <w:rFonts w:ascii="Times New Roman" w:eastAsiaTheme="majorEastAsia" w:hAnsi="Times New Roman" w:cstheme="majorBidi"/>
      <w:b/>
      <w:bCs/>
      <w:color w:val="000000" w:themeColor="text1"/>
      <w:sz w:val="24"/>
      <w:szCs w:val="24"/>
    </w:rPr>
  </w:style>
  <w:style w:type="character" w:customStyle="1" w:styleId="Ttulo4Char">
    <w:name w:val="Título 4 Char"/>
    <w:basedOn w:val="Fontepargpadro"/>
    <w:link w:val="Ttulo4"/>
    <w:uiPriority w:val="9"/>
    <w:semiHidden/>
    <w:rsid w:val="00F16E2C"/>
    <w:rPr>
      <w:rFonts w:asciiTheme="majorHAnsi" w:eastAsiaTheme="majorEastAsia" w:hAnsiTheme="majorHAnsi" w:cstheme="majorBidi"/>
      <w:b/>
      <w:bCs/>
      <w:i/>
      <w:iCs/>
      <w:color w:val="5B9BD5" w:themeColor="accent1"/>
      <w:sz w:val="24"/>
      <w:szCs w:val="24"/>
    </w:rPr>
  </w:style>
  <w:style w:type="character" w:customStyle="1" w:styleId="Ttulo5Char">
    <w:name w:val="Título 5 Char"/>
    <w:basedOn w:val="Fontepargpadro"/>
    <w:link w:val="Ttulo5"/>
    <w:uiPriority w:val="9"/>
    <w:semiHidden/>
    <w:rsid w:val="00F16E2C"/>
    <w:rPr>
      <w:rFonts w:asciiTheme="majorHAnsi" w:eastAsiaTheme="majorEastAsia" w:hAnsiTheme="majorHAnsi" w:cstheme="majorBidi"/>
      <w:color w:val="1F4D78" w:themeColor="accent1" w:themeShade="7F"/>
      <w:sz w:val="24"/>
      <w:szCs w:val="24"/>
    </w:rPr>
  </w:style>
  <w:style w:type="character" w:customStyle="1" w:styleId="Ttulo6Char">
    <w:name w:val="Título 6 Char"/>
    <w:basedOn w:val="Fontepargpadro"/>
    <w:link w:val="Ttulo6"/>
    <w:uiPriority w:val="9"/>
    <w:semiHidden/>
    <w:rsid w:val="00F16E2C"/>
    <w:rPr>
      <w:rFonts w:asciiTheme="majorHAnsi" w:eastAsiaTheme="majorEastAsia" w:hAnsiTheme="majorHAnsi" w:cstheme="majorBidi"/>
      <w:i/>
      <w:iCs/>
      <w:color w:val="1F4D78" w:themeColor="accent1" w:themeShade="7F"/>
      <w:sz w:val="24"/>
      <w:szCs w:val="24"/>
    </w:rPr>
  </w:style>
  <w:style w:type="character" w:customStyle="1" w:styleId="Ttulo7Char">
    <w:name w:val="Título 7 Char"/>
    <w:basedOn w:val="Fontepargpadro"/>
    <w:link w:val="Ttulo7"/>
    <w:uiPriority w:val="9"/>
    <w:semiHidden/>
    <w:rsid w:val="00F16E2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F16E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16E2C"/>
    <w:rPr>
      <w:rFonts w:asciiTheme="majorHAnsi" w:eastAsiaTheme="majorEastAsia" w:hAnsiTheme="majorHAnsi" w:cstheme="majorBidi"/>
      <w:i/>
      <w:iCs/>
      <w:color w:val="404040" w:themeColor="text1" w:themeTint="BF"/>
      <w:sz w:val="20"/>
      <w:szCs w:val="20"/>
    </w:rPr>
  </w:style>
  <w:style w:type="character" w:customStyle="1" w:styleId="hps">
    <w:name w:val="hps"/>
    <w:basedOn w:val="Fontepargpadro"/>
    <w:rsid w:val="00386EE8"/>
  </w:style>
  <w:style w:type="paragraph" w:customStyle="1" w:styleId="Default">
    <w:name w:val="Default"/>
    <w:rsid w:val="00D8050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24332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43325"/>
    <w:rPr>
      <w:sz w:val="20"/>
      <w:szCs w:val="20"/>
    </w:rPr>
  </w:style>
  <w:style w:type="character" w:styleId="Refdenotaderodap">
    <w:name w:val="footnote reference"/>
    <w:basedOn w:val="Fontepargpadro"/>
    <w:uiPriority w:val="99"/>
    <w:semiHidden/>
    <w:unhideWhenUsed/>
    <w:rsid w:val="00243325"/>
    <w:rPr>
      <w:vertAlign w:val="superscript"/>
    </w:rPr>
  </w:style>
  <w:style w:type="paragraph" w:styleId="Textodebalo">
    <w:name w:val="Balloon Text"/>
    <w:basedOn w:val="Normal"/>
    <w:link w:val="TextodebaloChar"/>
    <w:uiPriority w:val="99"/>
    <w:semiHidden/>
    <w:unhideWhenUsed/>
    <w:rsid w:val="00F16E2C"/>
    <w:pPr>
      <w:spacing w:beforeAutospacing="1" w:after="0" w:afterAutospacing="1"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F16E2C"/>
    <w:rPr>
      <w:rFonts w:ascii="Tahoma" w:hAnsi="Tahoma" w:cs="Tahoma"/>
      <w:sz w:val="16"/>
      <w:szCs w:val="16"/>
    </w:rPr>
  </w:style>
  <w:style w:type="character" w:customStyle="1" w:styleId="MTEquationSection">
    <w:name w:val="MTEquationSection"/>
    <w:basedOn w:val="Fontepargpadro"/>
    <w:rsid w:val="00F16E2C"/>
    <w:rPr>
      <w:vanish/>
      <w:color w:val="FF0000"/>
    </w:rPr>
  </w:style>
  <w:style w:type="paragraph" w:customStyle="1" w:styleId="MTDisplayEquation">
    <w:name w:val="MTDisplayEquation"/>
    <w:basedOn w:val="Normal"/>
    <w:next w:val="Normal"/>
    <w:link w:val="MTDisplayEquationChar"/>
    <w:rsid w:val="00F16E2C"/>
    <w:pPr>
      <w:tabs>
        <w:tab w:val="center" w:pos="4540"/>
        <w:tab w:val="right" w:pos="9080"/>
      </w:tabs>
      <w:spacing w:after="0" w:line="276" w:lineRule="auto"/>
    </w:pPr>
    <w:rPr>
      <w:rFonts w:cs="Times New Roman"/>
      <w:color w:val="000000" w:themeColor="text1"/>
      <w:szCs w:val="24"/>
    </w:rPr>
  </w:style>
  <w:style w:type="character" w:customStyle="1" w:styleId="MTDisplayEquationChar">
    <w:name w:val="MTDisplayEquation Char"/>
    <w:basedOn w:val="Fontepargpadro"/>
    <w:link w:val="MTDisplayEquation"/>
    <w:rsid w:val="00F16E2C"/>
    <w:rPr>
      <w:rFonts w:ascii="Times New Roman" w:hAnsi="Times New Roman" w:cs="Times New Roman"/>
      <w:color w:val="000000" w:themeColor="text1"/>
      <w:sz w:val="24"/>
      <w:szCs w:val="24"/>
    </w:rPr>
  </w:style>
  <w:style w:type="paragraph" w:styleId="Cabealho">
    <w:name w:val="header"/>
    <w:basedOn w:val="Normal"/>
    <w:link w:val="CabealhoChar"/>
    <w:uiPriority w:val="99"/>
    <w:unhideWhenUsed/>
    <w:rsid w:val="00F16E2C"/>
    <w:pPr>
      <w:tabs>
        <w:tab w:val="center" w:pos="4252"/>
        <w:tab w:val="right" w:pos="8504"/>
      </w:tabs>
      <w:spacing w:after="0" w:line="240" w:lineRule="auto"/>
      <w:ind w:firstLine="720"/>
    </w:pPr>
    <w:rPr>
      <w:rFonts w:cs="Times New Roman"/>
      <w:color w:val="000000" w:themeColor="text1"/>
      <w:szCs w:val="24"/>
    </w:rPr>
  </w:style>
  <w:style w:type="character" w:customStyle="1" w:styleId="CabealhoChar">
    <w:name w:val="Cabeçalho Char"/>
    <w:basedOn w:val="Fontepargpadro"/>
    <w:link w:val="Cabealho"/>
    <w:uiPriority w:val="99"/>
    <w:rsid w:val="00F16E2C"/>
    <w:rPr>
      <w:rFonts w:ascii="Times New Roman" w:hAnsi="Times New Roman" w:cs="Times New Roman"/>
      <w:color w:val="000000" w:themeColor="text1"/>
      <w:sz w:val="24"/>
      <w:szCs w:val="24"/>
    </w:rPr>
  </w:style>
  <w:style w:type="paragraph" w:styleId="Rodap">
    <w:name w:val="footer"/>
    <w:basedOn w:val="Normal"/>
    <w:link w:val="RodapChar"/>
    <w:uiPriority w:val="99"/>
    <w:unhideWhenUsed/>
    <w:rsid w:val="00F16E2C"/>
    <w:pPr>
      <w:tabs>
        <w:tab w:val="center" w:pos="4252"/>
        <w:tab w:val="right" w:pos="8504"/>
      </w:tabs>
      <w:spacing w:after="0" w:line="240" w:lineRule="auto"/>
      <w:ind w:firstLine="720"/>
    </w:pPr>
    <w:rPr>
      <w:rFonts w:cs="Times New Roman"/>
      <w:color w:val="000000" w:themeColor="text1"/>
      <w:szCs w:val="24"/>
    </w:rPr>
  </w:style>
  <w:style w:type="character" w:customStyle="1" w:styleId="RodapChar">
    <w:name w:val="Rodapé Char"/>
    <w:basedOn w:val="Fontepargpadro"/>
    <w:link w:val="Rodap"/>
    <w:uiPriority w:val="99"/>
    <w:rsid w:val="00F16E2C"/>
    <w:rPr>
      <w:rFonts w:ascii="Times New Roman" w:hAnsi="Times New Roman" w:cs="Times New Roman"/>
      <w:color w:val="000000" w:themeColor="text1"/>
      <w:sz w:val="24"/>
      <w:szCs w:val="24"/>
    </w:rPr>
  </w:style>
  <w:style w:type="paragraph" w:styleId="PargrafodaLista">
    <w:name w:val="List Paragraph"/>
    <w:basedOn w:val="Normal"/>
    <w:uiPriority w:val="34"/>
    <w:qFormat/>
    <w:rsid w:val="00F16E2C"/>
    <w:pPr>
      <w:spacing w:after="0" w:line="360" w:lineRule="auto"/>
      <w:ind w:left="720" w:firstLine="720"/>
      <w:contextualSpacing/>
    </w:pPr>
    <w:rPr>
      <w:rFonts w:cs="Times New Roman"/>
      <w:color w:val="000000" w:themeColor="text1"/>
      <w:szCs w:val="24"/>
    </w:rPr>
  </w:style>
  <w:style w:type="paragraph" w:styleId="Sumrio2">
    <w:name w:val="toc 2"/>
    <w:basedOn w:val="Normal"/>
    <w:next w:val="Normal"/>
    <w:autoRedefine/>
    <w:uiPriority w:val="39"/>
    <w:unhideWhenUsed/>
    <w:rsid w:val="00F16E2C"/>
    <w:pPr>
      <w:tabs>
        <w:tab w:val="left" w:pos="567"/>
        <w:tab w:val="right" w:leader="dot" w:pos="9061"/>
      </w:tabs>
      <w:spacing w:after="100" w:line="360" w:lineRule="auto"/>
    </w:pPr>
    <w:rPr>
      <w:rFonts w:cs="Times New Roman"/>
      <w:color w:val="000000" w:themeColor="text1"/>
      <w:szCs w:val="24"/>
    </w:rPr>
  </w:style>
  <w:style w:type="paragraph" w:styleId="Sumrio1">
    <w:name w:val="toc 1"/>
    <w:basedOn w:val="Normal"/>
    <w:next w:val="Normal"/>
    <w:autoRedefine/>
    <w:uiPriority w:val="39"/>
    <w:unhideWhenUsed/>
    <w:rsid w:val="00F16E2C"/>
    <w:pPr>
      <w:tabs>
        <w:tab w:val="left" w:pos="567"/>
        <w:tab w:val="right" w:leader="dot" w:pos="9061"/>
      </w:tabs>
      <w:spacing w:after="100" w:line="360" w:lineRule="auto"/>
    </w:pPr>
    <w:rPr>
      <w:rFonts w:cs="Times New Roman"/>
      <w:color w:val="000000" w:themeColor="text1"/>
      <w:szCs w:val="24"/>
    </w:rPr>
  </w:style>
  <w:style w:type="character" w:styleId="Hyperlink">
    <w:name w:val="Hyperlink"/>
    <w:basedOn w:val="Fontepargpadro"/>
    <w:uiPriority w:val="99"/>
    <w:unhideWhenUsed/>
    <w:rsid w:val="00F16E2C"/>
    <w:rPr>
      <w:color w:val="0563C1" w:themeColor="hyperlink"/>
      <w:u w:val="single"/>
    </w:rPr>
  </w:style>
  <w:style w:type="paragraph" w:styleId="CabealhodoSumrio">
    <w:name w:val="TOC Heading"/>
    <w:basedOn w:val="Ttulo1"/>
    <w:next w:val="Normal"/>
    <w:uiPriority w:val="39"/>
    <w:unhideWhenUsed/>
    <w:qFormat/>
    <w:rsid w:val="00F16E2C"/>
    <w:pPr>
      <w:spacing w:line="276" w:lineRule="auto"/>
      <w:jc w:val="left"/>
      <w:outlineLvl w:val="9"/>
    </w:pPr>
    <w:rPr>
      <w:rFonts w:asciiTheme="majorHAnsi" w:hAnsiTheme="majorHAnsi"/>
      <w:color w:val="2E74B5" w:themeColor="accent1" w:themeShade="BF"/>
      <w:sz w:val="28"/>
    </w:rPr>
  </w:style>
  <w:style w:type="character" w:customStyle="1" w:styleId="longtext1">
    <w:name w:val="long_text1"/>
    <w:basedOn w:val="Fontepargpadro"/>
    <w:rsid w:val="00F16E2C"/>
    <w:rPr>
      <w:sz w:val="20"/>
      <w:szCs w:val="20"/>
    </w:rPr>
  </w:style>
  <w:style w:type="character" w:customStyle="1" w:styleId="TextodenotadefimChar">
    <w:name w:val="Texto de nota de fim Char"/>
    <w:basedOn w:val="Fontepargpadro"/>
    <w:link w:val="Textodenotadefim"/>
    <w:uiPriority w:val="99"/>
    <w:semiHidden/>
    <w:rsid w:val="00F16E2C"/>
    <w:rPr>
      <w:color w:val="000000" w:themeColor="text1"/>
      <w:sz w:val="20"/>
      <w:szCs w:val="20"/>
    </w:rPr>
  </w:style>
  <w:style w:type="paragraph" w:styleId="Textodenotadefim">
    <w:name w:val="endnote text"/>
    <w:basedOn w:val="Normal"/>
    <w:link w:val="TextodenotadefimChar"/>
    <w:uiPriority w:val="99"/>
    <w:semiHidden/>
    <w:unhideWhenUsed/>
    <w:rsid w:val="00F16E2C"/>
    <w:pPr>
      <w:spacing w:after="0" w:line="240" w:lineRule="auto"/>
      <w:ind w:firstLine="720"/>
    </w:pPr>
    <w:rPr>
      <w:rFonts w:asciiTheme="minorHAnsi" w:hAnsiTheme="minorHAnsi"/>
      <w:color w:val="000000" w:themeColor="text1"/>
      <w:sz w:val="20"/>
      <w:szCs w:val="20"/>
    </w:rPr>
  </w:style>
  <w:style w:type="character" w:customStyle="1" w:styleId="TextodenotadefimChar1">
    <w:name w:val="Texto de nota de fim Char1"/>
    <w:basedOn w:val="Fontepargpadro"/>
    <w:uiPriority w:val="99"/>
    <w:semiHidden/>
    <w:rsid w:val="00F16E2C"/>
    <w:rPr>
      <w:rFonts w:ascii="Times New Roman" w:hAnsi="Times New Roman"/>
      <w:sz w:val="20"/>
      <w:szCs w:val="20"/>
    </w:rPr>
  </w:style>
  <w:style w:type="character" w:customStyle="1" w:styleId="longtext">
    <w:name w:val="long_text"/>
    <w:basedOn w:val="Fontepargpadro"/>
    <w:rsid w:val="00F16E2C"/>
  </w:style>
  <w:style w:type="paragraph" w:styleId="Legenda">
    <w:name w:val="caption"/>
    <w:basedOn w:val="Normal"/>
    <w:next w:val="Normal"/>
    <w:uiPriority w:val="35"/>
    <w:unhideWhenUsed/>
    <w:qFormat/>
    <w:rsid w:val="00F16E2C"/>
    <w:pPr>
      <w:spacing w:after="200" w:line="240" w:lineRule="auto"/>
      <w:ind w:firstLine="720"/>
    </w:pPr>
    <w:rPr>
      <w:rFonts w:cs="Times New Roman"/>
      <w:b/>
      <w:bCs/>
      <w:color w:val="5B9BD5" w:themeColor="accent1"/>
      <w:sz w:val="18"/>
      <w:szCs w:val="18"/>
    </w:rPr>
  </w:style>
  <w:style w:type="paragraph" w:styleId="Sumrio3">
    <w:name w:val="toc 3"/>
    <w:basedOn w:val="Normal"/>
    <w:next w:val="Normal"/>
    <w:autoRedefine/>
    <w:uiPriority w:val="39"/>
    <w:unhideWhenUsed/>
    <w:rsid w:val="00EE033F"/>
    <w:pPr>
      <w:tabs>
        <w:tab w:val="left" w:pos="709"/>
        <w:tab w:val="right" w:leader="dot" w:pos="9061"/>
      </w:tabs>
      <w:spacing w:after="100" w:line="360" w:lineRule="auto"/>
    </w:pPr>
    <w:rPr>
      <w:rFonts w:cs="Times New Roman"/>
      <w:b/>
      <w:noProof/>
      <w:color w:val="000000" w:themeColor="text1"/>
      <w:szCs w:val="24"/>
    </w:rPr>
  </w:style>
  <w:style w:type="paragraph" w:styleId="SemEspaamento">
    <w:name w:val="No Spacing"/>
    <w:uiPriority w:val="1"/>
    <w:qFormat/>
    <w:rsid w:val="00F16E2C"/>
    <w:pPr>
      <w:spacing w:after="0" w:line="240" w:lineRule="auto"/>
      <w:ind w:firstLine="720"/>
      <w:jc w:val="both"/>
    </w:pPr>
    <w:rPr>
      <w:rFonts w:ascii="Times New Roman" w:hAnsi="Times New Roman" w:cs="Times New Roman"/>
      <w:sz w:val="24"/>
      <w:szCs w:val="24"/>
    </w:rPr>
  </w:style>
  <w:style w:type="paragraph" w:styleId="Sumrio4">
    <w:name w:val="toc 4"/>
    <w:basedOn w:val="Normal"/>
    <w:next w:val="Normal"/>
    <w:autoRedefine/>
    <w:uiPriority w:val="39"/>
    <w:unhideWhenUsed/>
    <w:rsid w:val="00F16E2C"/>
    <w:pPr>
      <w:spacing w:after="100" w:line="276" w:lineRule="auto"/>
      <w:ind w:left="660"/>
      <w:jc w:val="left"/>
    </w:pPr>
    <w:rPr>
      <w:rFonts w:asciiTheme="minorHAnsi" w:eastAsiaTheme="minorEastAsia" w:hAnsiTheme="minorHAnsi"/>
      <w:color w:val="000000" w:themeColor="text1"/>
      <w:sz w:val="22"/>
      <w:lang w:eastAsia="pt-BR"/>
    </w:rPr>
  </w:style>
  <w:style w:type="paragraph" w:styleId="Sumrio5">
    <w:name w:val="toc 5"/>
    <w:basedOn w:val="Normal"/>
    <w:next w:val="Normal"/>
    <w:autoRedefine/>
    <w:uiPriority w:val="39"/>
    <w:unhideWhenUsed/>
    <w:rsid w:val="00F16E2C"/>
    <w:pPr>
      <w:spacing w:after="100" w:line="276" w:lineRule="auto"/>
      <w:ind w:left="880"/>
      <w:jc w:val="left"/>
    </w:pPr>
    <w:rPr>
      <w:rFonts w:asciiTheme="minorHAnsi" w:eastAsiaTheme="minorEastAsia" w:hAnsiTheme="minorHAnsi"/>
      <w:color w:val="000000" w:themeColor="text1"/>
      <w:sz w:val="22"/>
      <w:lang w:eastAsia="pt-BR"/>
    </w:rPr>
  </w:style>
  <w:style w:type="paragraph" w:styleId="Sumrio6">
    <w:name w:val="toc 6"/>
    <w:basedOn w:val="Normal"/>
    <w:next w:val="Normal"/>
    <w:autoRedefine/>
    <w:uiPriority w:val="39"/>
    <w:unhideWhenUsed/>
    <w:rsid w:val="00F16E2C"/>
    <w:pPr>
      <w:spacing w:after="100" w:line="276" w:lineRule="auto"/>
      <w:ind w:left="1100"/>
      <w:jc w:val="left"/>
    </w:pPr>
    <w:rPr>
      <w:rFonts w:asciiTheme="minorHAnsi" w:eastAsiaTheme="minorEastAsia" w:hAnsiTheme="minorHAnsi"/>
      <w:color w:val="000000" w:themeColor="text1"/>
      <w:sz w:val="22"/>
      <w:lang w:eastAsia="pt-BR"/>
    </w:rPr>
  </w:style>
  <w:style w:type="paragraph" w:styleId="Sumrio7">
    <w:name w:val="toc 7"/>
    <w:basedOn w:val="Normal"/>
    <w:next w:val="Normal"/>
    <w:autoRedefine/>
    <w:uiPriority w:val="39"/>
    <w:unhideWhenUsed/>
    <w:rsid w:val="00F16E2C"/>
    <w:pPr>
      <w:spacing w:after="100" w:line="276" w:lineRule="auto"/>
      <w:ind w:left="1320"/>
      <w:jc w:val="left"/>
    </w:pPr>
    <w:rPr>
      <w:rFonts w:asciiTheme="minorHAnsi" w:eastAsiaTheme="minorEastAsia" w:hAnsiTheme="minorHAnsi"/>
      <w:color w:val="000000" w:themeColor="text1"/>
      <w:sz w:val="22"/>
      <w:lang w:eastAsia="pt-BR"/>
    </w:rPr>
  </w:style>
  <w:style w:type="paragraph" w:styleId="Sumrio8">
    <w:name w:val="toc 8"/>
    <w:basedOn w:val="Normal"/>
    <w:next w:val="Normal"/>
    <w:autoRedefine/>
    <w:uiPriority w:val="39"/>
    <w:unhideWhenUsed/>
    <w:rsid w:val="00F16E2C"/>
    <w:pPr>
      <w:spacing w:after="100" w:line="276" w:lineRule="auto"/>
      <w:ind w:left="1540"/>
      <w:jc w:val="left"/>
    </w:pPr>
    <w:rPr>
      <w:rFonts w:asciiTheme="minorHAnsi" w:eastAsiaTheme="minorEastAsia" w:hAnsiTheme="minorHAnsi"/>
      <w:color w:val="000000" w:themeColor="text1"/>
      <w:sz w:val="22"/>
      <w:lang w:eastAsia="pt-BR"/>
    </w:rPr>
  </w:style>
  <w:style w:type="paragraph" w:styleId="Sumrio9">
    <w:name w:val="toc 9"/>
    <w:basedOn w:val="Normal"/>
    <w:next w:val="Normal"/>
    <w:autoRedefine/>
    <w:uiPriority w:val="39"/>
    <w:unhideWhenUsed/>
    <w:rsid w:val="00F16E2C"/>
    <w:pPr>
      <w:spacing w:after="100" w:line="276" w:lineRule="auto"/>
      <w:ind w:left="1760"/>
      <w:jc w:val="left"/>
    </w:pPr>
    <w:rPr>
      <w:rFonts w:asciiTheme="minorHAnsi" w:eastAsiaTheme="minorEastAsia" w:hAnsiTheme="minorHAnsi"/>
      <w:color w:val="000000" w:themeColor="text1"/>
      <w:sz w:val="22"/>
      <w:lang w:eastAsia="pt-BR"/>
    </w:rPr>
  </w:style>
  <w:style w:type="character" w:customStyle="1" w:styleId="apple-converted-space">
    <w:name w:val="apple-converted-space"/>
    <w:basedOn w:val="Fontepargpadro"/>
    <w:rsid w:val="00F16E2C"/>
  </w:style>
  <w:style w:type="character" w:customStyle="1" w:styleId="TextodecomentrioChar">
    <w:name w:val="Texto de comentário Char"/>
    <w:basedOn w:val="Fontepargpadro"/>
    <w:link w:val="Textodecomentrio"/>
    <w:uiPriority w:val="99"/>
    <w:rsid w:val="00F16E2C"/>
    <w:rPr>
      <w:color w:val="000000" w:themeColor="text1"/>
      <w:sz w:val="20"/>
      <w:szCs w:val="20"/>
    </w:rPr>
  </w:style>
  <w:style w:type="paragraph" w:styleId="Textodecomentrio">
    <w:name w:val="annotation text"/>
    <w:basedOn w:val="Normal"/>
    <w:link w:val="TextodecomentrioChar"/>
    <w:uiPriority w:val="99"/>
    <w:unhideWhenUsed/>
    <w:rsid w:val="00F16E2C"/>
    <w:pPr>
      <w:spacing w:after="0" w:line="240" w:lineRule="auto"/>
      <w:ind w:firstLine="720"/>
    </w:pPr>
    <w:rPr>
      <w:rFonts w:asciiTheme="minorHAnsi" w:hAnsiTheme="minorHAnsi"/>
      <w:color w:val="000000" w:themeColor="text1"/>
      <w:sz w:val="20"/>
      <w:szCs w:val="20"/>
    </w:rPr>
  </w:style>
  <w:style w:type="character" w:customStyle="1" w:styleId="TextodecomentrioChar1">
    <w:name w:val="Texto de comentário Char1"/>
    <w:basedOn w:val="Fontepargpadro"/>
    <w:uiPriority w:val="99"/>
    <w:semiHidden/>
    <w:rsid w:val="00F16E2C"/>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rsid w:val="00F16E2C"/>
    <w:rPr>
      <w:b/>
      <w:bCs/>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F16E2C"/>
    <w:rPr>
      <w:b/>
      <w:bCs/>
    </w:rPr>
  </w:style>
  <w:style w:type="character" w:customStyle="1" w:styleId="AssuntodocomentrioChar1">
    <w:name w:val="Assunto do comentário Char1"/>
    <w:basedOn w:val="TextodecomentrioChar1"/>
    <w:uiPriority w:val="99"/>
    <w:semiHidden/>
    <w:rsid w:val="00F16E2C"/>
    <w:rPr>
      <w:rFonts w:ascii="Times New Roman" w:hAnsi="Times New Roman"/>
      <w:b/>
      <w:bCs/>
      <w:sz w:val="20"/>
      <w:szCs w:val="20"/>
    </w:rPr>
  </w:style>
  <w:style w:type="paragraph" w:styleId="ndicedeilustraes">
    <w:name w:val="table of figures"/>
    <w:basedOn w:val="Normal"/>
    <w:next w:val="Normal"/>
    <w:uiPriority w:val="99"/>
    <w:unhideWhenUsed/>
    <w:rsid w:val="00F16E2C"/>
    <w:pPr>
      <w:spacing w:after="0"/>
      <w:jc w:val="left"/>
    </w:pPr>
    <w:rPr>
      <w:rFonts w:asciiTheme="minorHAnsi" w:hAnsiTheme="minorHAnsi"/>
      <w:i/>
      <w:iCs/>
      <w:sz w:val="20"/>
      <w:szCs w:val="20"/>
    </w:rPr>
  </w:style>
  <w:style w:type="table" w:customStyle="1" w:styleId="SombreamentoClaro1">
    <w:name w:val="Sombreamento Claro1"/>
    <w:basedOn w:val="Tabelanormal"/>
    <w:uiPriority w:val="60"/>
    <w:rsid w:val="00070AC9"/>
    <w:pPr>
      <w:spacing w:beforeAutospacing="1" w:after="0" w:afterAutospacing="1"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70AC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elacomgrade">
    <w:name w:val="Table Grid"/>
    <w:basedOn w:val="Tabelanormal"/>
    <w:uiPriority w:val="59"/>
    <w:rsid w:val="00FD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A0770"/>
    <w:rPr>
      <w:sz w:val="16"/>
      <w:szCs w:val="16"/>
    </w:rPr>
  </w:style>
  <w:style w:type="paragraph" w:styleId="Subttulo">
    <w:name w:val="Subtitle"/>
    <w:basedOn w:val="Normal"/>
    <w:next w:val="Normal"/>
    <w:link w:val="SubttuloChar"/>
    <w:uiPriority w:val="11"/>
    <w:qFormat/>
    <w:rsid w:val="00AE7F65"/>
    <w:pPr>
      <w:numPr>
        <w:ilvl w:val="1"/>
      </w:numPr>
    </w:pPr>
    <w:rPr>
      <w:rFonts w:eastAsiaTheme="majorEastAsia" w:cstheme="majorBidi"/>
      <w:b/>
      <w:iCs/>
      <w:color w:val="000000" w:themeColor="text1"/>
      <w:spacing w:val="15"/>
      <w:szCs w:val="24"/>
    </w:rPr>
  </w:style>
  <w:style w:type="character" w:customStyle="1" w:styleId="SubttuloChar">
    <w:name w:val="Subtítulo Char"/>
    <w:basedOn w:val="Fontepargpadro"/>
    <w:link w:val="Subttulo"/>
    <w:uiPriority w:val="11"/>
    <w:rsid w:val="00AE7F65"/>
    <w:rPr>
      <w:rFonts w:ascii="Times New Roman" w:eastAsiaTheme="majorEastAsia" w:hAnsi="Times New Roman" w:cstheme="majorBidi"/>
      <w:b/>
      <w:iCs/>
      <w:color w:val="000000" w:themeColor="text1"/>
      <w:spacing w:val="15"/>
      <w:sz w:val="24"/>
      <w:szCs w:val="24"/>
    </w:rPr>
  </w:style>
  <w:style w:type="character" w:styleId="Forte">
    <w:name w:val="Strong"/>
    <w:basedOn w:val="Fontepargpadro"/>
    <w:uiPriority w:val="99"/>
    <w:qFormat/>
    <w:rsid w:val="003B2BDA"/>
    <w:rPr>
      <w:rFonts w:cs="Times New Roman"/>
      <w:b/>
      <w:bCs/>
    </w:rPr>
  </w:style>
  <w:style w:type="paragraph" w:styleId="Corpodetexto">
    <w:name w:val="Body Text"/>
    <w:basedOn w:val="Normal"/>
    <w:link w:val="CorpodetextoChar"/>
    <w:uiPriority w:val="99"/>
    <w:rsid w:val="003B2BDA"/>
    <w:pPr>
      <w:spacing w:after="120" w:line="240" w:lineRule="auto"/>
      <w:jc w:val="left"/>
    </w:pPr>
    <w:rPr>
      <w:rFonts w:eastAsiaTheme="minorEastAsia"/>
      <w:sz w:val="20"/>
      <w:szCs w:val="20"/>
      <w:lang w:eastAsia="pt-BR"/>
    </w:rPr>
  </w:style>
  <w:style w:type="character" w:customStyle="1" w:styleId="CorpodetextoChar">
    <w:name w:val="Corpo de texto Char"/>
    <w:basedOn w:val="Fontepargpadro"/>
    <w:link w:val="Corpodetexto"/>
    <w:uiPriority w:val="99"/>
    <w:rsid w:val="003B2BDA"/>
    <w:rPr>
      <w:rFonts w:ascii="Times New Roman" w:eastAsiaTheme="minorEastAsia" w:hAnsi="Times New Roman"/>
      <w:sz w:val="20"/>
      <w:szCs w:val="20"/>
      <w:lang w:eastAsia="pt-BR"/>
    </w:rPr>
  </w:style>
  <w:style w:type="character" w:styleId="TextodoEspaoReservado">
    <w:name w:val="Placeholder Text"/>
    <w:basedOn w:val="Fontepargpadro"/>
    <w:uiPriority w:val="99"/>
    <w:semiHidden/>
    <w:rsid w:val="00CD16EF"/>
    <w:rPr>
      <w:color w:val="808080"/>
    </w:rPr>
  </w:style>
  <w:style w:type="character" w:styleId="HiperlinkVisitado">
    <w:name w:val="FollowedHyperlink"/>
    <w:basedOn w:val="Fontepargpadro"/>
    <w:uiPriority w:val="99"/>
    <w:semiHidden/>
    <w:unhideWhenUsed/>
    <w:rsid w:val="0098726E"/>
    <w:rPr>
      <w:color w:val="954F72" w:themeColor="followedHyperlink"/>
      <w:u w:val="single"/>
    </w:rPr>
  </w:style>
  <w:style w:type="paragraph" w:styleId="Reviso">
    <w:name w:val="Revision"/>
    <w:hidden/>
    <w:uiPriority w:val="99"/>
    <w:semiHidden/>
    <w:rsid w:val="0098726E"/>
    <w:pPr>
      <w:spacing w:after="0" w:line="240" w:lineRule="auto"/>
    </w:pPr>
    <w:rPr>
      <w:rFonts w:eastAsiaTheme="minorEastAsia"/>
      <w:lang w:eastAsia="pt-BR"/>
    </w:rPr>
  </w:style>
  <w:style w:type="character" w:styleId="Refdenotadefim">
    <w:name w:val="endnote reference"/>
    <w:basedOn w:val="Fontepargpadro"/>
    <w:uiPriority w:val="99"/>
    <w:semiHidden/>
    <w:unhideWhenUsed/>
    <w:rsid w:val="0098726E"/>
    <w:rPr>
      <w:vertAlign w:val="superscript"/>
    </w:rPr>
  </w:style>
  <w:style w:type="paragraph" w:styleId="Ttulo">
    <w:name w:val="Title"/>
    <w:basedOn w:val="Normal"/>
    <w:next w:val="Normal"/>
    <w:link w:val="TtuloChar"/>
    <w:qFormat/>
    <w:rsid w:val="006768C2"/>
    <w:pPr>
      <w:spacing w:before="240" w:after="60" w:line="360" w:lineRule="auto"/>
      <w:ind w:firstLine="709"/>
      <w:jc w:val="center"/>
      <w:outlineLvl w:val="0"/>
    </w:pPr>
    <w:rPr>
      <w:rFonts w:ascii="Calibri Light" w:eastAsia="Times New Roman" w:hAnsi="Calibri Light" w:cs="Times New Roman"/>
      <w:b/>
      <w:bCs/>
      <w:kern w:val="28"/>
      <w:sz w:val="32"/>
      <w:szCs w:val="32"/>
      <w:lang w:eastAsia="pt-BR"/>
    </w:rPr>
  </w:style>
  <w:style w:type="character" w:customStyle="1" w:styleId="TtuloChar">
    <w:name w:val="Título Char"/>
    <w:basedOn w:val="Fontepargpadro"/>
    <w:link w:val="Ttulo"/>
    <w:rsid w:val="006768C2"/>
    <w:rPr>
      <w:rFonts w:ascii="Calibri Light" w:eastAsia="Times New Roman" w:hAnsi="Calibri Light" w:cs="Times New Roman"/>
      <w:b/>
      <w:bCs/>
      <w:kern w:val="28"/>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25"/>
    <w:pPr>
      <w:jc w:val="both"/>
    </w:pPr>
    <w:rPr>
      <w:rFonts w:ascii="Times New Roman" w:hAnsi="Times New Roman"/>
      <w:sz w:val="24"/>
    </w:rPr>
  </w:style>
  <w:style w:type="paragraph" w:styleId="Ttulo1">
    <w:name w:val="heading 1"/>
    <w:basedOn w:val="Normal"/>
    <w:next w:val="Normal"/>
    <w:link w:val="Ttulo1Char"/>
    <w:uiPriority w:val="9"/>
    <w:qFormat/>
    <w:rsid w:val="00F16E2C"/>
    <w:pPr>
      <w:keepNext/>
      <w:keepLines/>
      <w:spacing w:before="480" w:after="0" w:line="360" w:lineRule="auto"/>
      <w:outlineLvl w:val="0"/>
    </w:pPr>
    <w:rPr>
      <w:rFonts w:eastAsiaTheme="majorEastAsia" w:cstheme="majorBidi"/>
      <w:b/>
      <w:bCs/>
      <w:szCs w:val="28"/>
    </w:rPr>
  </w:style>
  <w:style w:type="paragraph" w:styleId="Ttulo2">
    <w:name w:val="heading 2"/>
    <w:aliases w:val="Equação 2"/>
    <w:basedOn w:val="Normal"/>
    <w:next w:val="Normal"/>
    <w:link w:val="Ttulo2Char"/>
    <w:autoRedefine/>
    <w:uiPriority w:val="9"/>
    <w:unhideWhenUsed/>
    <w:qFormat/>
    <w:rsid w:val="00F16E2C"/>
    <w:pPr>
      <w:keepNext/>
      <w:keepLines/>
      <w:spacing w:before="200" w:after="0" w:line="360" w:lineRule="auto"/>
      <w:outlineLvl w:val="1"/>
    </w:pPr>
    <w:rPr>
      <w:rFonts w:eastAsiaTheme="minorEastAsia" w:cstheme="majorBidi"/>
      <w:b/>
      <w:bCs/>
      <w:color w:val="000000" w:themeColor="text1"/>
      <w:szCs w:val="26"/>
    </w:rPr>
  </w:style>
  <w:style w:type="paragraph" w:styleId="Ttulo3">
    <w:name w:val="heading 3"/>
    <w:basedOn w:val="Normal"/>
    <w:next w:val="Normal"/>
    <w:link w:val="Ttulo3Char"/>
    <w:uiPriority w:val="9"/>
    <w:unhideWhenUsed/>
    <w:qFormat/>
    <w:rsid w:val="00AE7F65"/>
    <w:pPr>
      <w:keepNext/>
      <w:keepLines/>
      <w:spacing w:before="200" w:after="0" w:line="360" w:lineRule="auto"/>
      <w:outlineLvl w:val="2"/>
    </w:pPr>
    <w:rPr>
      <w:rFonts w:eastAsiaTheme="majorEastAsia" w:cstheme="majorBidi"/>
      <w:b/>
      <w:bCs/>
      <w:color w:val="000000" w:themeColor="text1"/>
      <w:szCs w:val="24"/>
    </w:rPr>
  </w:style>
  <w:style w:type="paragraph" w:styleId="Ttulo4">
    <w:name w:val="heading 4"/>
    <w:basedOn w:val="Normal"/>
    <w:next w:val="Normal"/>
    <w:link w:val="Ttulo4Char"/>
    <w:uiPriority w:val="9"/>
    <w:semiHidden/>
    <w:unhideWhenUsed/>
    <w:qFormat/>
    <w:rsid w:val="00F16E2C"/>
    <w:pPr>
      <w:keepNext/>
      <w:keepLines/>
      <w:spacing w:before="200" w:beforeAutospacing="1" w:after="0" w:afterAutospacing="1" w:line="240" w:lineRule="auto"/>
      <w:jc w:val="left"/>
      <w:outlineLvl w:val="3"/>
    </w:pPr>
    <w:rPr>
      <w:rFonts w:asciiTheme="majorHAnsi" w:eastAsiaTheme="majorEastAsia" w:hAnsiTheme="majorHAnsi" w:cstheme="majorBidi"/>
      <w:b/>
      <w:bCs/>
      <w:i/>
      <w:iCs/>
      <w:color w:val="5B9BD5" w:themeColor="accent1"/>
      <w:szCs w:val="24"/>
    </w:rPr>
  </w:style>
  <w:style w:type="paragraph" w:styleId="Ttulo5">
    <w:name w:val="heading 5"/>
    <w:basedOn w:val="Normal"/>
    <w:next w:val="Normal"/>
    <w:link w:val="Ttulo5Char"/>
    <w:uiPriority w:val="9"/>
    <w:semiHidden/>
    <w:unhideWhenUsed/>
    <w:qFormat/>
    <w:rsid w:val="00F16E2C"/>
    <w:pPr>
      <w:keepNext/>
      <w:keepLines/>
      <w:spacing w:before="200" w:beforeAutospacing="1" w:after="0" w:afterAutospacing="1" w:line="240" w:lineRule="auto"/>
      <w:jc w:val="left"/>
      <w:outlineLvl w:val="4"/>
    </w:pPr>
    <w:rPr>
      <w:rFonts w:asciiTheme="majorHAnsi" w:eastAsiaTheme="majorEastAsia" w:hAnsiTheme="majorHAnsi" w:cstheme="majorBidi"/>
      <w:color w:val="1F4D78" w:themeColor="accent1" w:themeShade="7F"/>
      <w:szCs w:val="24"/>
    </w:rPr>
  </w:style>
  <w:style w:type="paragraph" w:styleId="Ttulo6">
    <w:name w:val="heading 6"/>
    <w:basedOn w:val="Normal"/>
    <w:next w:val="Normal"/>
    <w:link w:val="Ttulo6Char"/>
    <w:uiPriority w:val="9"/>
    <w:semiHidden/>
    <w:unhideWhenUsed/>
    <w:qFormat/>
    <w:rsid w:val="00F16E2C"/>
    <w:pPr>
      <w:keepNext/>
      <w:keepLines/>
      <w:spacing w:before="200" w:beforeAutospacing="1" w:after="0" w:afterAutospacing="1" w:line="240" w:lineRule="auto"/>
      <w:jc w:val="left"/>
      <w:outlineLvl w:val="5"/>
    </w:pPr>
    <w:rPr>
      <w:rFonts w:asciiTheme="majorHAnsi" w:eastAsiaTheme="majorEastAsia" w:hAnsiTheme="majorHAnsi" w:cstheme="majorBidi"/>
      <w:i/>
      <w:iCs/>
      <w:color w:val="1F4D78" w:themeColor="accent1" w:themeShade="7F"/>
      <w:szCs w:val="24"/>
    </w:rPr>
  </w:style>
  <w:style w:type="paragraph" w:styleId="Ttulo7">
    <w:name w:val="heading 7"/>
    <w:basedOn w:val="Normal"/>
    <w:next w:val="Normal"/>
    <w:link w:val="Ttulo7Char"/>
    <w:uiPriority w:val="9"/>
    <w:semiHidden/>
    <w:unhideWhenUsed/>
    <w:qFormat/>
    <w:rsid w:val="00F16E2C"/>
    <w:pPr>
      <w:keepNext/>
      <w:keepLines/>
      <w:spacing w:before="200" w:beforeAutospacing="1" w:after="0" w:afterAutospacing="1" w:line="240" w:lineRule="auto"/>
      <w:jc w:val="left"/>
      <w:outlineLvl w:val="6"/>
    </w:pPr>
    <w:rPr>
      <w:rFonts w:asciiTheme="majorHAnsi" w:eastAsiaTheme="majorEastAsia" w:hAnsiTheme="majorHAnsi" w:cstheme="majorBidi"/>
      <w:i/>
      <w:iCs/>
      <w:color w:val="404040" w:themeColor="text1" w:themeTint="BF"/>
      <w:szCs w:val="24"/>
    </w:rPr>
  </w:style>
  <w:style w:type="paragraph" w:styleId="Ttulo8">
    <w:name w:val="heading 8"/>
    <w:basedOn w:val="Normal"/>
    <w:next w:val="Normal"/>
    <w:link w:val="Ttulo8Char"/>
    <w:uiPriority w:val="9"/>
    <w:semiHidden/>
    <w:unhideWhenUsed/>
    <w:qFormat/>
    <w:rsid w:val="00F16E2C"/>
    <w:pPr>
      <w:keepNext/>
      <w:keepLines/>
      <w:spacing w:before="200" w:beforeAutospacing="1" w:after="0" w:afterAutospacing="1" w:line="240" w:lineRule="auto"/>
      <w:jc w:val="left"/>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16E2C"/>
    <w:pPr>
      <w:keepNext/>
      <w:keepLines/>
      <w:spacing w:before="200" w:beforeAutospacing="1" w:after="0" w:afterAutospacing="1" w:line="240"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16E2C"/>
    <w:rPr>
      <w:rFonts w:ascii="Times New Roman" w:eastAsiaTheme="majorEastAsia" w:hAnsi="Times New Roman" w:cstheme="majorBidi"/>
      <w:b/>
      <w:bCs/>
      <w:sz w:val="24"/>
      <w:szCs w:val="28"/>
    </w:rPr>
  </w:style>
  <w:style w:type="character" w:customStyle="1" w:styleId="Ttulo2Char">
    <w:name w:val="Título 2 Char"/>
    <w:aliases w:val="Equação 2 Char"/>
    <w:basedOn w:val="Fontepargpadro"/>
    <w:link w:val="Ttulo2"/>
    <w:uiPriority w:val="9"/>
    <w:rsid w:val="00F16E2C"/>
    <w:rPr>
      <w:rFonts w:ascii="Times New Roman" w:eastAsiaTheme="minorEastAsia" w:hAnsi="Times New Roman" w:cstheme="majorBidi"/>
      <w:b/>
      <w:bCs/>
      <w:color w:val="000000" w:themeColor="text1"/>
      <w:sz w:val="24"/>
      <w:szCs w:val="26"/>
    </w:rPr>
  </w:style>
  <w:style w:type="character" w:customStyle="1" w:styleId="Ttulo3Char">
    <w:name w:val="Título 3 Char"/>
    <w:basedOn w:val="Fontepargpadro"/>
    <w:link w:val="Ttulo3"/>
    <w:uiPriority w:val="9"/>
    <w:rsid w:val="00AE7F65"/>
    <w:rPr>
      <w:rFonts w:ascii="Times New Roman" w:eastAsiaTheme="majorEastAsia" w:hAnsi="Times New Roman" w:cstheme="majorBidi"/>
      <w:b/>
      <w:bCs/>
      <w:color w:val="000000" w:themeColor="text1"/>
      <w:sz w:val="24"/>
      <w:szCs w:val="24"/>
    </w:rPr>
  </w:style>
  <w:style w:type="character" w:customStyle="1" w:styleId="Ttulo4Char">
    <w:name w:val="Título 4 Char"/>
    <w:basedOn w:val="Fontepargpadro"/>
    <w:link w:val="Ttulo4"/>
    <w:uiPriority w:val="9"/>
    <w:semiHidden/>
    <w:rsid w:val="00F16E2C"/>
    <w:rPr>
      <w:rFonts w:asciiTheme="majorHAnsi" w:eastAsiaTheme="majorEastAsia" w:hAnsiTheme="majorHAnsi" w:cstheme="majorBidi"/>
      <w:b/>
      <w:bCs/>
      <w:i/>
      <w:iCs/>
      <w:color w:val="5B9BD5" w:themeColor="accent1"/>
      <w:sz w:val="24"/>
      <w:szCs w:val="24"/>
    </w:rPr>
  </w:style>
  <w:style w:type="character" w:customStyle="1" w:styleId="Ttulo5Char">
    <w:name w:val="Título 5 Char"/>
    <w:basedOn w:val="Fontepargpadro"/>
    <w:link w:val="Ttulo5"/>
    <w:uiPriority w:val="9"/>
    <w:semiHidden/>
    <w:rsid w:val="00F16E2C"/>
    <w:rPr>
      <w:rFonts w:asciiTheme="majorHAnsi" w:eastAsiaTheme="majorEastAsia" w:hAnsiTheme="majorHAnsi" w:cstheme="majorBidi"/>
      <w:color w:val="1F4D78" w:themeColor="accent1" w:themeShade="7F"/>
      <w:sz w:val="24"/>
      <w:szCs w:val="24"/>
    </w:rPr>
  </w:style>
  <w:style w:type="character" w:customStyle="1" w:styleId="Ttulo6Char">
    <w:name w:val="Título 6 Char"/>
    <w:basedOn w:val="Fontepargpadro"/>
    <w:link w:val="Ttulo6"/>
    <w:uiPriority w:val="9"/>
    <w:semiHidden/>
    <w:rsid w:val="00F16E2C"/>
    <w:rPr>
      <w:rFonts w:asciiTheme="majorHAnsi" w:eastAsiaTheme="majorEastAsia" w:hAnsiTheme="majorHAnsi" w:cstheme="majorBidi"/>
      <w:i/>
      <w:iCs/>
      <w:color w:val="1F4D78" w:themeColor="accent1" w:themeShade="7F"/>
      <w:sz w:val="24"/>
      <w:szCs w:val="24"/>
    </w:rPr>
  </w:style>
  <w:style w:type="character" w:customStyle="1" w:styleId="Ttulo7Char">
    <w:name w:val="Título 7 Char"/>
    <w:basedOn w:val="Fontepargpadro"/>
    <w:link w:val="Ttulo7"/>
    <w:uiPriority w:val="9"/>
    <w:semiHidden/>
    <w:rsid w:val="00F16E2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F16E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16E2C"/>
    <w:rPr>
      <w:rFonts w:asciiTheme="majorHAnsi" w:eastAsiaTheme="majorEastAsia" w:hAnsiTheme="majorHAnsi" w:cstheme="majorBidi"/>
      <w:i/>
      <w:iCs/>
      <w:color w:val="404040" w:themeColor="text1" w:themeTint="BF"/>
      <w:sz w:val="20"/>
      <w:szCs w:val="20"/>
    </w:rPr>
  </w:style>
  <w:style w:type="character" w:customStyle="1" w:styleId="hps">
    <w:name w:val="hps"/>
    <w:basedOn w:val="Fontepargpadro"/>
    <w:rsid w:val="00386EE8"/>
  </w:style>
  <w:style w:type="paragraph" w:customStyle="1" w:styleId="Default">
    <w:name w:val="Default"/>
    <w:rsid w:val="00D8050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24332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43325"/>
    <w:rPr>
      <w:sz w:val="20"/>
      <w:szCs w:val="20"/>
    </w:rPr>
  </w:style>
  <w:style w:type="character" w:styleId="Refdenotaderodap">
    <w:name w:val="footnote reference"/>
    <w:basedOn w:val="Fontepargpadro"/>
    <w:uiPriority w:val="99"/>
    <w:semiHidden/>
    <w:unhideWhenUsed/>
    <w:rsid w:val="00243325"/>
    <w:rPr>
      <w:vertAlign w:val="superscript"/>
    </w:rPr>
  </w:style>
  <w:style w:type="paragraph" w:styleId="Textodebalo">
    <w:name w:val="Balloon Text"/>
    <w:basedOn w:val="Normal"/>
    <w:link w:val="TextodebaloChar"/>
    <w:uiPriority w:val="99"/>
    <w:semiHidden/>
    <w:unhideWhenUsed/>
    <w:rsid w:val="00F16E2C"/>
    <w:pPr>
      <w:spacing w:beforeAutospacing="1" w:after="0" w:afterAutospacing="1"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F16E2C"/>
    <w:rPr>
      <w:rFonts w:ascii="Tahoma" w:hAnsi="Tahoma" w:cs="Tahoma"/>
      <w:sz w:val="16"/>
      <w:szCs w:val="16"/>
    </w:rPr>
  </w:style>
  <w:style w:type="character" w:customStyle="1" w:styleId="MTEquationSection">
    <w:name w:val="MTEquationSection"/>
    <w:basedOn w:val="Fontepargpadro"/>
    <w:rsid w:val="00F16E2C"/>
    <w:rPr>
      <w:vanish/>
      <w:color w:val="FF0000"/>
    </w:rPr>
  </w:style>
  <w:style w:type="paragraph" w:customStyle="1" w:styleId="MTDisplayEquation">
    <w:name w:val="MTDisplayEquation"/>
    <w:basedOn w:val="Normal"/>
    <w:next w:val="Normal"/>
    <w:link w:val="MTDisplayEquationChar"/>
    <w:rsid w:val="00F16E2C"/>
    <w:pPr>
      <w:tabs>
        <w:tab w:val="center" w:pos="4540"/>
        <w:tab w:val="right" w:pos="9080"/>
      </w:tabs>
      <w:spacing w:after="0" w:line="276" w:lineRule="auto"/>
    </w:pPr>
    <w:rPr>
      <w:rFonts w:cs="Times New Roman"/>
      <w:color w:val="000000" w:themeColor="text1"/>
      <w:szCs w:val="24"/>
    </w:rPr>
  </w:style>
  <w:style w:type="character" w:customStyle="1" w:styleId="MTDisplayEquationChar">
    <w:name w:val="MTDisplayEquation Char"/>
    <w:basedOn w:val="Fontepargpadro"/>
    <w:link w:val="MTDisplayEquation"/>
    <w:rsid w:val="00F16E2C"/>
    <w:rPr>
      <w:rFonts w:ascii="Times New Roman" w:hAnsi="Times New Roman" w:cs="Times New Roman"/>
      <w:color w:val="000000" w:themeColor="text1"/>
      <w:sz w:val="24"/>
      <w:szCs w:val="24"/>
    </w:rPr>
  </w:style>
  <w:style w:type="paragraph" w:styleId="Cabealho">
    <w:name w:val="header"/>
    <w:basedOn w:val="Normal"/>
    <w:link w:val="CabealhoChar"/>
    <w:uiPriority w:val="99"/>
    <w:unhideWhenUsed/>
    <w:rsid w:val="00F16E2C"/>
    <w:pPr>
      <w:tabs>
        <w:tab w:val="center" w:pos="4252"/>
        <w:tab w:val="right" w:pos="8504"/>
      </w:tabs>
      <w:spacing w:after="0" w:line="240" w:lineRule="auto"/>
      <w:ind w:firstLine="720"/>
    </w:pPr>
    <w:rPr>
      <w:rFonts w:cs="Times New Roman"/>
      <w:color w:val="000000" w:themeColor="text1"/>
      <w:szCs w:val="24"/>
    </w:rPr>
  </w:style>
  <w:style w:type="character" w:customStyle="1" w:styleId="CabealhoChar">
    <w:name w:val="Cabeçalho Char"/>
    <w:basedOn w:val="Fontepargpadro"/>
    <w:link w:val="Cabealho"/>
    <w:uiPriority w:val="99"/>
    <w:rsid w:val="00F16E2C"/>
    <w:rPr>
      <w:rFonts w:ascii="Times New Roman" w:hAnsi="Times New Roman" w:cs="Times New Roman"/>
      <w:color w:val="000000" w:themeColor="text1"/>
      <w:sz w:val="24"/>
      <w:szCs w:val="24"/>
    </w:rPr>
  </w:style>
  <w:style w:type="paragraph" w:styleId="Rodap">
    <w:name w:val="footer"/>
    <w:basedOn w:val="Normal"/>
    <w:link w:val="RodapChar"/>
    <w:uiPriority w:val="99"/>
    <w:unhideWhenUsed/>
    <w:rsid w:val="00F16E2C"/>
    <w:pPr>
      <w:tabs>
        <w:tab w:val="center" w:pos="4252"/>
        <w:tab w:val="right" w:pos="8504"/>
      </w:tabs>
      <w:spacing w:after="0" w:line="240" w:lineRule="auto"/>
      <w:ind w:firstLine="720"/>
    </w:pPr>
    <w:rPr>
      <w:rFonts w:cs="Times New Roman"/>
      <w:color w:val="000000" w:themeColor="text1"/>
      <w:szCs w:val="24"/>
    </w:rPr>
  </w:style>
  <w:style w:type="character" w:customStyle="1" w:styleId="RodapChar">
    <w:name w:val="Rodapé Char"/>
    <w:basedOn w:val="Fontepargpadro"/>
    <w:link w:val="Rodap"/>
    <w:uiPriority w:val="99"/>
    <w:rsid w:val="00F16E2C"/>
    <w:rPr>
      <w:rFonts w:ascii="Times New Roman" w:hAnsi="Times New Roman" w:cs="Times New Roman"/>
      <w:color w:val="000000" w:themeColor="text1"/>
      <w:sz w:val="24"/>
      <w:szCs w:val="24"/>
    </w:rPr>
  </w:style>
  <w:style w:type="paragraph" w:styleId="PargrafodaLista">
    <w:name w:val="List Paragraph"/>
    <w:basedOn w:val="Normal"/>
    <w:uiPriority w:val="34"/>
    <w:qFormat/>
    <w:rsid w:val="00F16E2C"/>
    <w:pPr>
      <w:spacing w:after="0" w:line="360" w:lineRule="auto"/>
      <w:ind w:left="720" w:firstLine="720"/>
      <w:contextualSpacing/>
    </w:pPr>
    <w:rPr>
      <w:rFonts w:cs="Times New Roman"/>
      <w:color w:val="000000" w:themeColor="text1"/>
      <w:szCs w:val="24"/>
    </w:rPr>
  </w:style>
  <w:style w:type="paragraph" w:styleId="Sumrio2">
    <w:name w:val="toc 2"/>
    <w:basedOn w:val="Normal"/>
    <w:next w:val="Normal"/>
    <w:autoRedefine/>
    <w:uiPriority w:val="39"/>
    <w:unhideWhenUsed/>
    <w:rsid w:val="00F16E2C"/>
    <w:pPr>
      <w:tabs>
        <w:tab w:val="left" w:pos="567"/>
        <w:tab w:val="right" w:leader="dot" w:pos="9061"/>
      </w:tabs>
      <w:spacing w:after="100" w:line="360" w:lineRule="auto"/>
    </w:pPr>
    <w:rPr>
      <w:rFonts w:cs="Times New Roman"/>
      <w:color w:val="000000" w:themeColor="text1"/>
      <w:szCs w:val="24"/>
    </w:rPr>
  </w:style>
  <w:style w:type="paragraph" w:styleId="Sumrio1">
    <w:name w:val="toc 1"/>
    <w:basedOn w:val="Normal"/>
    <w:next w:val="Normal"/>
    <w:autoRedefine/>
    <w:uiPriority w:val="39"/>
    <w:unhideWhenUsed/>
    <w:rsid w:val="00F16E2C"/>
    <w:pPr>
      <w:tabs>
        <w:tab w:val="left" w:pos="567"/>
        <w:tab w:val="right" w:leader="dot" w:pos="9061"/>
      </w:tabs>
      <w:spacing w:after="100" w:line="360" w:lineRule="auto"/>
    </w:pPr>
    <w:rPr>
      <w:rFonts w:cs="Times New Roman"/>
      <w:color w:val="000000" w:themeColor="text1"/>
      <w:szCs w:val="24"/>
    </w:rPr>
  </w:style>
  <w:style w:type="character" w:styleId="Hyperlink">
    <w:name w:val="Hyperlink"/>
    <w:basedOn w:val="Fontepargpadro"/>
    <w:uiPriority w:val="99"/>
    <w:unhideWhenUsed/>
    <w:rsid w:val="00F16E2C"/>
    <w:rPr>
      <w:color w:val="0563C1" w:themeColor="hyperlink"/>
      <w:u w:val="single"/>
    </w:rPr>
  </w:style>
  <w:style w:type="paragraph" w:styleId="CabealhodoSumrio">
    <w:name w:val="TOC Heading"/>
    <w:basedOn w:val="Ttulo1"/>
    <w:next w:val="Normal"/>
    <w:uiPriority w:val="39"/>
    <w:unhideWhenUsed/>
    <w:qFormat/>
    <w:rsid w:val="00F16E2C"/>
    <w:pPr>
      <w:spacing w:line="276" w:lineRule="auto"/>
      <w:jc w:val="left"/>
      <w:outlineLvl w:val="9"/>
    </w:pPr>
    <w:rPr>
      <w:rFonts w:asciiTheme="majorHAnsi" w:hAnsiTheme="majorHAnsi"/>
      <w:color w:val="2E74B5" w:themeColor="accent1" w:themeShade="BF"/>
      <w:sz w:val="28"/>
    </w:rPr>
  </w:style>
  <w:style w:type="character" w:customStyle="1" w:styleId="longtext1">
    <w:name w:val="long_text1"/>
    <w:basedOn w:val="Fontepargpadro"/>
    <w:rsid w:val="00F16E2C"/>
    <w:rPr>
      <w:sz w:val="20"/>
      <w:szCs w:val="20"/>
    </w:rPr>
  </w:style>
  <w:style w:type="character" w:customStyle="1" w:styleId="TextodenotadefimChar">
    <w:name w:val="Texto de nota de fim Char"/>
    <w:basedOn w:val="Fontepargpadro"/>
    <w:link w:val="Textodenotadefim"/>
    <w:uiPriority w:val="99"/>
    <w:semiHidden/>
    <w:rsid w:val="00F16E2C"/>
    <w:rPr>
      <w:color w:val="000000" w:themeColor="text1"/>
      <w:sz w:val="20"/>
      <w:szCs w:val="20"/>
    </w:rPr>
  </w:style>
  <w:style w:type="paragraph" w:styleId="Textodenotadefim">
    <w:name w:val="endnote text"/>
    <w:basedOn w:val="Normal"/>
    <w:link w:val="TextodenotadefimChar"/>
    <w:uiPriority w:val="99"/>
    <w:semiHidden/>
    <w:unhideWhenUsed/>
    <w:rsid w:val="00F16E2C"/>
    <w:pPr>
      <w:spacing w:after="0" w:line="240" w:lineRule="auto"/>
      <w:ind w:firstLine="720"/>
    </w:pPr>
    <w:rPr>
      <w:rFonts w:asciiTheme="minorHAnsi" w:hAnsiTheme="minorHAnsi"/>
      <w:color w:val="000000" w:themeColor="text1"/>
      <w:sz w:val="20"/>
      <w:szCs w:val="20"/>
    </w:rPr>
  </w:style>
  <w:style w:type="character" w:customStyle="1" w:styleId="TextodenotadefimChar1">
    <w:name w:val="Texto de nota de fim Char1"/>
    <w:basedOn w:val="Fontepargpadro"/>
    <w:uiPriority w:val="99"/>
    <w:semiHidden/>
    <w:rsid w:val="00F16E2C"/>
    <w:rPr>
      <w:rFonts w:ascii="Times New Roman" w:hAnsi="Times New Roman"/>
      <w:sz w:val="20"/>
      <w:szCs w:val="20"/>
    </w:rPr>
  </w:style>
  <w:style w:type="character" w:customStyle="1" w:styleId="longtext">
    <w:name w:val="long_text"/>
    <w:basedOn w:val="Fontepargpadro"/>
    <w:rsid w:val="00F16E2C"/>
  </w:style>
  <w:style w:type="paragraph" w:styleId="Legenda">
    <w:name w:val="caption"/>
    <w:basedOn w:val="Normal"/>
    <w:next w:val="Normal"/>
    <w:uiPriority w:val="35"/>
    <w:unhideWhenUsed/>
    <w:qFormat/>
    <w:rsid w:val="00F16E2C"/>
    <w:pPr>
      <w:spacing w:after="200" w:line="240" w:lineRule="auto"/>
      <w:ind w:firstLine="720"/>
    </w:pPr>
    <w:rPr>
      <w:rFonts w:cs="Times New Roman"/>
      <w:b/>
      <w:bCs/>
      <w:color w:val="5B9BD5" w:themeColor="accent1"/>
      <w:sz w:val="18"/>
      <w:szCs w:val="18"/>
    </w:rPr>
  </w:style>
  <w:style w:type="paragraph" w:styleId="Sumrio3">
    <w:name w:val="toc 3"/>
    <w:basedOn w:val="Normal"/>
    <w:next w:val="Normal"/>
    <w:autoRedefine/>
    <w:uiPriority w:val="39"/>
    <w:unhideWhenUsed/>
    <w:rsid w:val="00EE033F"/>
    <w:pPr>
      <w:tabs>
        <w:tab w:val="left" w:pos="709"/>
        <w:tab w:val="right" w:leader="dot" w:pos="9061"/>
      </w:tabs>
      <w:spacing w:after="100" w:line="360" w:lineRule="auto"/>
    </w:pPr>
    <w:rPr>
      <w:rFonts w:cs="Times New Roman"/>
      <w:b/>
      <w:noProof/>
      <w:color w:val="000000" w:themeColor="text1"/>
      <w:szCs w:val="24"/>
    </w:rPr>
  </w:style>
  <w:style w:type="paragraph" w:styleId="SemEspaamento">
    <w:name w:val="No Spacing"/>
    <w:uiPriority w:val="1"/>
    <w:qFormat/>
    <w:rsid w:val="00F16E2C"/>
    <w:pPr>
      <w:spacing w:after="0" w:line="240" w:lineRule="auto"/>
      <w:ind w:firstLine="720"/>
      <w:jc w:val="both"/>
    </w:pPr>
    <w:rPr>
      <w:rFonts w:ascii="Times New Roman" w:hAnsi="Times New Roman" w:cs="Times New Roman"/>
      <w:sz w:val="24"/>
      <w:szCs w:val="24"/>
    </w:rPr>
  </w:style>
  <w:style w:type="paragraph" w:styleId="Sumrio4">
    <w:name w:val="toc 4"/>
    <w:basedOn w:val="Normal"/>
    <w:next w:val="Normal"/>
    <w:autoRedefine/>
    <w:uiPriority w:val="39"/>
    <w:unhideWhenUsed/>
    <w:rsid w:val="00F16E2C"/>
    <w:pPr>
      <w:spacing w:after="100" w:line="276" w:lineRule="auto"/>
      <w:ind w:left="660"/>
      <w:jc w:val="left"/>
    </w:pPr>
    <w:rPr>
      <w:rFonts w:asciiTheme="minorHAnsi" w:eastAsiaTheme="minorEastAsia" w:hAnsiTheme="minorHAnsi"/>
      <w:color w:val="000000" w:themeColor="text1"/>
      <w:sz w:val="22"/>
      <w:lang w:eastAsia="pt-BR"/>
    </w:rPr>
  </w:style>
  <w:style w:type="paragraph" w:styleId="Sumrio5">
    <w:name w:val="toc 5"/>
    <w:basedOn w:val="Normal"/>
    <w:next w:val="Normal"/>
    <w:autoRedefine/>
    <w:uiPriority w:val="39"/>
    <w:unhideWhenUsed/>
    <w:rsid w:val="00F16E2C"/>
    <w:pPr>
      <w:spacing w:after="100" w:line="276" w:lineRule="auto"/>
      <w:ind w:left="880"/>
      <w:jc w:val="left"/>
    </w:pPr>
    <w:rPr>
      <w:rFonts w:asciiTheme="minorHAnsi" w:eastAsiaTheme="minorEastAsia" w:hAnsiTheme="minorHAnsi"/>
      <w:color w:val="000000" w:themeColor="text1"/>
      <w:sz w:val="22"/>
      <w:lang w:eastAsia="pt-BR"/>
    </w:rPr>
  </w:style>
  <w:style w:type="paragraph" w:styleId="Sumrio6">
    <w:name w:val="toc 6"/>
    <w:basedOn w:val="Normal"/>
    <w:next w:val="Normal"/>
    <w:autoRedefine/>
    <w:uiPriority w:val="39"/>
    <w:unhideWhenUsed/>
    <w:rsid w:val="00F16E2C"/>
    <w:pPr>
      <w:spacing w:after="100" w:line="276" w:lineRule="auto"/>
      <w:ind w:left="1100"/>
      <w:jc w:val="left"/>
    </w:pPr>
    <w:rPr>
      <w:rFonts w:asciiTheme="minorHAnsi" w:eastAsiaTheme="minorEastAsia" w:hAnsiTheme="minorHAnsi"/>
      <w:color w:val="000000" w:themeColor="text1"/>
      <w:sz w:val="22"/>
      <w:lang w:eastAsia="pt-BR"/>
    </w:rPr>
  </w:style>
  <w:style w:type="paragraph" w:styleId="Sumrio7">
    <w:name w:val="toc 7"/>
    <w:basedOn w:val="Normal"/>
    <w:next w:val="Normal"/>
    <w:autoRedefine/>
    <w:uiPriority w:val="39"/>
    <w:unhideWhenUsed/>
    <w:rsid w:val="00F16E2C"/>
    <w:pPr>
      <w:spacing w:after="100" w:line="276" w:lineRule="auto"/>
      <w:ind w:left="1320"/>
      <w:jc w:val="left"/>
    </w:pPr>
    <w:rPr>
      <w:rFonts w:asciiTheme="minorHAnsi" w:eastAsiaTheme="minorEastAsia" w:hAnsiTheme="minorHAnsi"/>
      <w:color w:val="000000" w:themeColor="text1"/>
      <w:sz w:val="22"/>
      <w:lang w:eastAsia="pt-BR"/>
    </w:rPr>
  </w:style>
  <w:style w:type="paragraph" w:styleId="Sumrio8">
    <w:name w:val="toc 8"/>
    <w:basedOn w:val="Normal"/>
    <w:next w:val="Normal"/>
    <w:autoRedefine/>
    <w:uiPriority w:val="39"/>
    <w:unhideWhenUsed/>
    <w:rsid w:val="00F16E2C"/>
    <w:pPr>
      <w:spacing w:after="100" w:line="276" w:lineRule="auto"/>
      <w:ind w:left="1540"/>
      <w:jc w:val="left"/>
    </w:pPr>
    <w:rPr>
      <w:rFonts w:asciiTheme="minorHAnsi" w:eastAsiaTheme="minorEastAsia" w:hAnsiTheme="minorHAnsi"/>
      <w:color w:val="000000" w:themeColor="text1"/>
      <w:sz w:val="22"/>
      <w:lang w:eastAsia="pt-BR"/>
    </w:rPr>
  </w:style>
  <w:style w:type="paragraph" w:styleId="Sumrio9">
    <w:name w:val="toc 9"/>
    <w:basedOn w:val="Normal"/>
    <w:next w:val="Normal"/>
    <w:autoRedefine/>
    <w:uiPriority w:val="39"/>
    <w:unhideWhenUsed/>
    <w:rsid w:val="00F16E2C"/>
    <w:pPr>
      <w:spacing w:after="100" w:line="276" w:lineRule="auto"/>
      <w:ind w:left="1760"/>
      <w:jc w:val="left"/>
    </w:pPr>
    <w:rPr>
      <w:rFonts w:asciiTheme="minorHAnsi" w:eastAsiaTheme="minorEastAsia" w:hAnsiTheme="minorHAnsi"/>
      <w:color w:val="000000" w:themeColor="text1"/>
      <w:sz w:val="22"/>
      <w:lang w:eastAsia="pt-BR"/>
    </w:rPr>
  </w:style>
  <w:style w:type="character" w:customStyle="1" w:styleId="apple-converted-space">
    <w:name w:val="apple-converted-space"/>
    <w:basedOn w:val="Fontepargpadro"/>
    <w:rsid w:val="00F16E2C"/>
  </w:style>
  <w:style w:type="character" w:customStyle="1" w:styleId="TextodecomentrioChar">
    <w:name w:val="Texto de comentário Char"/>
    <w:basedOn w:val="Fontepargpadro"/>
    <w:link w:val="Textodecomentrio"/>
    <w:uiPriority w:val="99"/>
    <w:rsid w:val="00F16E2C"/>
    <w:rPr>
      <w:color w:val="000000" w:themeColor="text1"/>
      <w:sz w:val="20"/>
      <w:szCs w:val="20"/>
    </w:rPr>
  </w:style>
  <w:style w:type="paragraph" w:styleId="Textodecomentrio">
    <w:name w:val="annotation text"/>
    <w:basedOn w:val="Normal"/>
    <w:link w:val="TextodecomentrioChar"/>
    <w:uiPriority w:val="99"/>
    <w:unhideWhenUsed/>
    <w:rsid w:val="00F16E2C"/>
    <w:pPr>
      <w:spacing w:after="0" w:line="240" w:lineRule="auto"/>
      <w:ind w:firstLine="720"/>
    </w:pPr>
    <w:rPr>
      <w:rFonts w:asciiTheme="minorHAnsi" w:hAnsiTheme="minorHAnsi"/>
      <w:color w:val="000000" w:themeColor="text1"/>
      <w:sz w:val="20"/>
      <w:szCs w:val="20"/>
    </w:rPr>
  </w:style>
  <w:style w:type="character" w:customStyle="1" w:styleId="TextodecomentrioChar1">
    <w:name w:val="Texto de comentário Char1"/>
    <w:basedOn w:val="Fontepargpadro"/>
    <w:uiPriority w:val="99"/>
    <w:semiHidden/>
    <w:rsid w:val="00F16E2C"/>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rsid w:val="00F16E2C"/>
    <w:rPr>
      <w:b/>
      <w:bCs/>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F16E2C"/>
    <w:rPr>
      <w:b/>
      <w:bCs/>
    </w:rPr>
  </w:style>
  <w:style w:type="character" w:customStyle="1" w:styleId="AssuntodocomentrioChar1">
    <w:name w:val="Assunto do comentário Char1"/>
    <w:basedOn w:val="TextodecomentrioChar1"/>
    <w:uiPriority w:val="99"/>
    <w:semiHidden/>
    <w:rsid w:val="00F16E2C"/>
    <w:rPr>
      <w:rFonts w:ascii="Times New Roman" w:hAnsi="Times New Roman"/>
      <w:b/>
      <w:bCs/>
      <w:sz w:val="20"/>
      <w:szCs w:val="20"/>
    </w:rPr>
  </w:style>
  <w:style w:type="paragraph" w:styleId="ndicedeilustraes">
    <w:name w:val="table of figures"/>
    <w:basedOn w:val="Normal"/>
    <w:next w:val="Normal"/>
    <w:uiPriority w:val="99"/>
    <w:unhideWhenUsed/>
    <w:rsid w:val="00F16E2C"/>
    <w:pPr>
      <w:spacing w:after="0"/>
      <w:jc w:val="left"/>
    </w:pPr>
    <w:rPr>
      <w:rFonts w:asciiTheme="minorHAnsi" w:hAnsiTheme="minorHAnsi"/>
      <w:i/>
      <w:iCs/>
      <w:sz w:val="20"/>
      <w:szCs w:val="20"/>
    </w:rPr>
  </w:style>
  <w:style w:type="table" w:customStyle="1" w:styleId="SombreamentoClaro1">
    <w:name w:val="Sombreamento Claro1"/>
    <w:basedOn w:val="Tabelanormal"/>
    <w:uiPriority w:val="60"/>
    <w:rsid w:val="00070AC9"/>
    <w:pPr>
      <w:spacing w:beforeAutospacing="1" w:after="0" w:afterAutospacing="1"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3">
    <w:name w:val="Light Shading Accent 3"/>
    <w:basedOn w:val="Tabelanormal"/>
    <w:uiPriority w:val="60"/>
    <w:rsid w:val="00070AC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elacomgrade">
    <w:name w:val="Table Grid"/>
    <w:basedOn w:val="Tabelanormal"/>
    <w:uiPriority w:val="59"/>
    <w:rsid w:val="00FD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A0770"/>
    <w:rPr>
      <w:sz w:val="16"/>
      <w:szCs w:val="16"/>
    </w:rPr>
  </w:style>
  <w:style w:type="paragraph" w:styleId="Subttulo">
    <w:name w:val="Subtitle"/>
    <w:basedOn w:val="Normal"/>
    <w:next w:val="Normal"/>
    <w:link w:val="SubttuloChar"/>
    <w:uiPriority w:val="11"/>
    <w:qFormat/>
    <w:rsid w:val="00AE7F65"/>
    <w:pPr>
      <w:numPr>
        <w:ilvl w:val="1"/>
      </w:numPr>
    </w:pPr>
    <w:rPr>
      <w:rFonts w:eastAsiaTheme="majorEastAsia" w:cstheme="majorBidi"/>
      <w:b/>
      <w:iCs/>
      <w:color w:val="000000" w:themeColor="text1"/>
      <w:spacing w:val="15"/>
      <w:szCs w:val="24"/>
    </w:rPr>
  </w:style>
  <w:style w:type="character" w:customStyle="1" w:styleId="SubttuloChar">
    <w:name w:val="Subtítulo Char"/>
    <w:basedOn w:val="Fontepargpadro"/>
    <w:link w:val="Subttulo"/>
    <w:uiPriority w:val="11"/>
    <w:rsid w:val="00AE7F65"/>
    <w:rPr>
      <w:rFonts w:ascii="Times New Roman" w:eastAsiaTheme="majorEastAsia" w:hAnsi="Times New Roman" w:cstheme="majorBidi"/>
      <w:b/>
      <w:iCs/>
      <w:color w:val="000000" w:themeColor="text1"/>
      <w:spacing w:val="15"/>
      <w:sz w:val="24"/>
      <w:szCs w:val="24"/>
    </w:rPr>
  </w:style>
  <w:style w:type="character" w:styleId="Forte">
    <w:name w:val="Strong"/>
    <w:basedOn w:val="Fontepargpadro"/>
    <w:uiPriority w:val="99"/>
    <w:qFormat/>
    <w:rsid w:val="003B2BDA"/>
    <w:rPr>
      <w:rFonts w:cs="Times New Roman"/>
      <w:b/>
      <w:bCs/>
    </w:rPr>
  </w:style>
  <w:style w:type="paragraph" w:styleId="Corpodetexto">
    <w:name w:val="Body Text"/>
    <w:basedOn w:val="Normal"/>
    <w:link w:val="CorpodetextoChar"/>
    <w:uiPriority w:val="99"/>
    <w:rsid w:val="003B2BDA"/>
    <w:pPr>
      <w:spacing w:after="120" w:line="240" w:lineRule="auto"/>
      <w:jc w:val="left"/>
    </w:pPr>
    <w:rPr>
      <w:rFonts w:eastAsiaTheme="minorEastAsia"/>
      <w:sz w:val="20"/>
      <w:szCs w:val="20"/>
      <w:lang w:eastAsia="pt-BR"/>
    </w:rPr>
  </w:style>
  <w:style w:type="character" w:customStyle="1" w:styleId="CorpodetextoChar">
    <w:name w:val="Corpo de texto Char"/>
    <w:basedOn w:val="Fontepargpadro"/>
    <w:link w:val="Corpodetexto"/>
    <w:uiPriority w:val="99"/>
    <w:rsid w:val="003B2BDA"/>
    <w:rPr>
      <w:rFonts w:ascii="Times New Roman" w:eastAsiaTheme="minorEastAsia" w:hAnsi="Times New Roman"/>
      <w:sz w:val="20"/>
      <w:szCs w:val="20"/>
      <w:lang w:eastAsia="pt-BR"/>
    </w:rPr>
  </w:style>
  <w:style w:type="character" w:styleId="TextodoEspaoReservado">
    <w:name w:val="Placeholder Text"/>
    <w:basedOn w:val="Fontepargpadro"/>
    <w:uiPriority w:val="99"/>
    <w:semiHidden/>
    <w:rsid w:val="00CD16EF"/>
    <w:rPr>
      <w:color w:val="808080"/>
    </w:rPr>
  </w:style>
  <w:style w:type="character" w:styleId="HiperlinkVisitado">
    <w:name w:val="FollowedHyperlink"/>
    <w:basedOn w:val="Fontepargpadro"/>
    <w:uiPriority w:val="99"/>
    <w:semiHidden/>
    <w:unhideWhenUsed/>
    <w:rsid w:val="0098726E"/>
    <w:rPr>
      <w:color w:val="954F72" w:themeColor="followedHyperlink"/>
      <w:u w:val="single"/>
    </w:rPr>
  </w:style>
  <w:style w:type="paragraph" w:styleId="Reviso">
    <w:name w:val="Revision"/>
    <w:hidden/>
    <w:uiPriority w:val="99"/>
    <w:semiHidden/>
    <w:rsid w:val="0098726E"/>
    <w:pPr>
      <w:spacing w:after="0" w:line="240" w:lineRule="auto"/>
    </w:pPr>
    <w:rPr>
      <w:rFonts w:eastAsiaTheme="minorEastAsia"/>
      <w:lang w:eastAsia="pt-BR"/>
    </w:rPr>
  </w:style>
  <w:style w:type="character" w:styleId="Refdenotadefim">
    <w:name w:val="endnote reference"/>
    <w:basedOn w:val="Fontepargpadro"/>
    <w:uiPriority w:val="99"/>
    <w:semiHidden/>
    <w:unhideWhenUsed/>
    <w:rsid w:val="0098726E"/>
    <w:rPr>
      <w:vertAlign w:val="superscript"/>
    </w:rPr>
  </w:style>
  <w:style w:type="paragraph" w:styleId="Ttulo">
    <w:name w:val="Title"/>
    <w:basedOn w:val="Normal"/>
    <w:next w:val="Normal"/>
    <w:link w:val="TtuloChar"/>
    <w:qFormat/>
    <w:rsid w:val="006768C2"/>
    <w:pPr>
      <w:spacing w:before="240" w:after="60" w:line="360" w:lineRule="auto"/>
      <w:ind w:firstLine="709"/>
      <w:jc w:val="center"/>
      <w:outlineLvl w:val="0"/>
    </w:pPr>
    <w:rPr>
      <w:rFonts w:ascii="Calibri Light" w:eastAsia="Times New Roman" w:hAnsi="Calibri Light" w:cs="Times New Roman"/>
      <w:b/>
      <w:bCs/>
      <w:kern w:val="28"/>
      <w:sz w:val="32"/>
      <w:szCs w:val="32"/>
      <w:lang w:eastAsia="pt-BR"/>
    </w:rPr>
  </w:style>
  <w:style w:type="character" w:customStyle="1" w:styleId="TtuloChar">
    <w:name w:val="Título Char"/>
    <w:basedOn w:val="Fontepargpadro"/>
    <w:link w:val="Ttulo"/>
    <w:rsid w:val="006768C2"/>
    <w:rPr>
      <w:rFonts w:ascii="Calibri Light" w:eastAsia="Times New Roman" w:hAnsi="Calibri Light" w:cs="Times New Roman"/>
      <w:b/>
      <w:bCs/>
      <w:kern w:val="28"/>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63144">
      <w:bodyDiv w:val="1"/>
      <w:marLeft w:val="0"/>
      <w:marRight w:val="0"/>
      <w:marTop w:val="0"/>
      <w:marBottom w:val="0"/>
      <w:divBdr>
        <w:top w:val="none" w:sz="0" w:space="0" w:color="auto"/>
        <w:left w:val="none" w:sz="0" w:space="0" w:color="auto"/>
        <w:bottom w:val="none" w:sz="0" w:space="0" w:color="auto"/>
        <w:right w:val="none" w:sz="0" w:space="0" w:color="auto"/>
      </w:divBdr>
    </w:div>
    <w:div w:id="726683208">
      <w:bodyDiv w:val="1"/>
      <w:marLeft w:val="0"/>
      <w:marRight w:val="0"/>
      <w:marTop w:val="0"/>
      <w:marBottom w:val="0"/>
      <w:divBdr>
        <w:top w:val="none" w:sz="0" w:space="0" w:color="auto"/>
        <w:left w:val="none" w:sz="0" w:space="0" w:color="auto"/>
        <w:bottom w:val="none" w:sz="0" w:space="0" w:color="auto"/>
        <w:right w:val="none" w:sz="0" w:space="0" w:color="auto"/>
      </w:divBdr>
    </w:div>
    <w:div w:id="759833339">
      <w:bodyDiv w:val="1"/>
      <w:marLeft w:val="0"/>
      <w:marRight w:val="0"/>
      <w:marTop w:val="0"/>
      <w:marBottom w:val="0"/>
      <w:divBdr>
        <w:top w:val="none" w:sz="0" w:space="0" w:color="auto"/>
        <w:left w:val="none" w:sz="0" w:space="0" w:color="auto"/>
        <w:bottom w:val="none" w:sz="0" w:space="0" w:color="auto"/>
        <w:right w:val="none" w:sz="0" w:space="0" w:color="auto"/>
      </w:divBdr>
    </w:div>
    <w:div w:id="1424456281">
      <w:bodyDiv w:val="1"/>
      <w:marLeft w:val="0"/>
      <w:marRight w:val="0"/>
      <w:marTop w:val="0"/>
      <w:marBottom w:val="0"/>
      <w:divBdr>
        <w:top w:val="none" w:sz="0" w:space="0" w:color="auto"/>
        <w:left w:val="none" w:sz="0" w:space="0" w:color="auto"/>
        <w:bottom w:val="none" w:sz="0" w:space="0" w:color="auto"/>
        <w:right w:val="none" w:sz="0" w:space="0" w:color="auto"/>
      </w:divBdr>
    </w:div>
    <w:div w:id="1521045969">
      <w:bodyDiv w:val="1"/>
      <w:marLeft w:val="0"/>
      <w:marRight w:val="0"/>
      <w:marTop w:val="0"/>
      <w:marBottom w:val="0"/>
      <w:divBdr>
        <w:top w:val="none" w:sz="0" w:space="0" w:color="auto"/>
        <w:left w:val="none" w:sz="0" w:space="0" w:color="auto"/>
        <w:bottom w:val="none" w:sz="0" w:space="0" w:color="auto"/>
        <w:right w:val="none" w:sz="0" w:space="0" w:color="auto"/>
      </w:divBdr>
    </w:div>
    <w:div w:id="1536691625">
      <w:bodyDiv w:val="1"/>
      <w:marLeft w:val="0"/>
      <w:marRight w:val="0"/>
      <w:marTop w:val="0"/>
      <w:marBottom w:val="0"/>
      <w:divBdr>
        <w:top w:val="none" w:sz="0" w:space="0" w:color="auto"/>
        <w:left w:val="none" w:sz="0" w:space="0" w:color="auto"/>
        <w:bottom w:val="none" w:sz="0" w:space="0" w:color="auto"/>
        <w:right w:val="none" w:sz="0" w:space="0" w:color="auto"/>
      </w:divBdr>
    </w:div>
    <w:div w:id="1694333914">
      <w:bodyDiv w:val="1"/>
      <w:marLeft w:val="0"/>
      <w:marRight w:val="0"/>
      <w:marTop w:val="0"/>
      <w:marBottom w:val="0"/>
      <w:divBdr>
        <w:top w:val="none" w:sz="0" w:space="0" w:color="auto"/>
        <w:left w:val="none" w:sz="0" w:space="0" w:color="auto"/>
        <w:bottom w:val="none" w:sz="0" w:space="0" w:color="auto"/>
        <w:right w:val="none" w:sz="0" w:space="0" w:color="auto"/>
      </w:divBdr>
    </w:div>
    <w:div w:id="20736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felipexresende@gmail.com" TargetMode="External"/><Relationship Id="rId1" Type="http://schemas.openxmlformats.org/officeDocument/2006/relationships/hyperlink" Target="mailto:resendeg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F6A4-589B-4C75-91CE-9412EE74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9810</Words>
  <Characters>52978</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2016-09-13T17:06:00Z</dcterms:created>
  <dcterms:modified xsi:type="dcterms:W3CDTF">2016-09-13T17:06:00Z</dcterms:modified>
</cp:coreProperties>
</file>